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41D" w:rsidRDefault="0050589A">
      <w:r>
        <w:t xml:space="preserve">Strategic Planning – JUUL </w:t>
      </w:r>
    </w:p>
    <w:p w:rsidR="002E1AB8" w:rsidRDefault="002E1AB8">
      <w:r>
        <w:t>Isabella Roy</w:t>
      </w:r>
    </w:p>
    <w:p w:rsidR="002E1AB8" w:rsidRDefault="002E1AB8">
      <w:r>
        <w:t>PR Management: 4463-001</w:t>
      </w:r>
    </w:p>
    <w:p w:rsidR="00A904BF" w:rsidRDefault="00A904BF" w:rsidP="00A904BF"/>
    <w:p w:rsidR="00811D38" w:rsidRPr="00811D38" w:rsidRDefault="00811D38" w:rsidP="00A904BF">
      <w:pPr>
        <w:rPr>
          <w:b/>
        </w:rPr>
      </w:pPr>
      <w:r>
        <w:rPr>
          <w:b/>
        </w:rPr>
        <w:t xml:space="preserve">Stakeholders </w:t>
      </w:r>
    </w:p>
    <w:p w:rsidR="00811D38" w:rsidRDefault="00811D38" w:rsidP="00A904BF"/>
    <w:p w:rsidR="00A56B1C" w:rsidRDefault="00824E8E" w:rsidP="00862955">
      <w:pPr>
        <w:ind w:firstLine="360"/>
      </w:pPr>
      <w:r>
        <w:t>JUUL stakeholders include regulators</w:t>
      </w:r>
      <w:r w:rsidR="009E6733">
        <w:t xml:space="preserve">, distributors, manufactures, retailers, JUUL Labs, JUUL </w:t>
      </w:r>
      <w:r w:rsidR="00B643E9">
        <w:t>management and employees,</w:t>
      </w:r>
      <w:r w:rsidR="009E6733">
        <w:t xml:space="preserve"> </w:t>
      </w:r>
      <w:r w:rsidR="00B643E9">
        <w:t xml:space="preserve">device </w:t>
      </w:r>
      <w:r w:rsidR="009E6733">
        <w:t xml:space="preserve">users and shareholders. </w:t>
      </w:r>
      <w:r>
        <w:t>JUUL regulators include t</w:t>
      </w:r>
      <w:r w:rsidR="00A904BF">
        <w:t xml:space="preserve">he FDA (Food and Drug Administration) and FTC (Federal Trade Commission) </w:t>
      </w:r>
      <w:r w:rsidR="00B12464">
        <w:t>who</w:t>
      </w:r>
      <w:r>
        <w:t xml:space="preserve"> </w:t>
      </w:r>
      <w:r w:rsidR="00A904BF">
        <w:t xml:space="preserve">are the largest </w:t>
      </w:r>
      <w:r w:rsidR="00595741">
        <w:t>adversaries against the underage use of JUUL devices. Both the FDA and FTC issued 13 w</w:t>
      </w:r>
      <w:r w:rsidR="00E474A3">
        <w:t>arning letters to companies saying that</w:t>
      </w:r>
      <w:r w:rsidR="00595741">
        <w:t xml:space="preserve"> JUUL “misleadingly labeled or advertised nicotine-containing e-liquids as kid-friendly food products as jui</w:t>
      </w:r>
      <w:r w:rsidR="002E7E5F">
        <w:t>ce boxes, candies and cookies.”</w:t>
      </w:r>
      <w:r w:rsidR="002E7E5F">
        <w:rPr>
          <w:rStyle w:val="FootnoteReference"/>
        </w:rPr>
        <w:footnoteReference w:id="1"/>
      </w:r>
      <w:r w:rsidR="00595741">
        <w:t xml:space="preserve"> </w:t>
      </w:r>
      <w:r w:rsidR="009E6733">
        <w:t>The letters were</w:t>
      </w:r>
      <w:r>
        <w:t xml:space="preserve"> issued out</w:t>
      </w:r>
      <w:r w:rsidR="009E6733">
        <w:t xml:space="preserve"> to distributors, manufacturers</w:t>
      </w:r>
      <w:r>
        <w:t xml:space="preserve"> and retailers of JUUL products to discourage the distribution of the most</w:t>
      </w:r>
      <w:r w:rsidR="0021682D">
        <w:t xml:space="preserve"> popular e-cigarette in America</w:t>
      </w:r>
      <w:r>
        <w:t>.</w:t>
      </w:r>
      <w:r w:rsidR="002E7E5F">
        <w:rPr>
          <w:rStyle w:val="FootnoteReference"/>
        </w:rPr>
        <w:footnoteReference w:id="2"/>
      </w:r>
      <w:r>
        <w:t xml:space="preserve"> </w:t>
      </w:r>
      <w:r w:rsidR="009E6733">
        <w:t xml:space="preserve"> </w:t>
      </w:r>
      <w:r w:rsidR="001D0A32">
        <w:t>JUUL distributors include retail and wholesale opti</w:t>
      </w:r>
      <w:r>
        <w:t xml:space="preserve">ons. As JUUL fell into controversy at the beginning of 2017 due to the FDA data </w:t>
      </w:r>
      <w:r w:rsidR="005D180A">
        <w:t>revealing</w:t>
      </w:r>
      <w:r>
        <w:t xml:space="preserve"> a 75% increase of teen vaping in the past year</w:t>
      </w:r>
      <w:r w:rsidR="00E474A3">
        <w:t>, and how in</w:t>
      </w:r>
      <w:r>
        <w:t xml:space="preserve"> 2017 more than two million middle and high schoolers used e-cigarettes than ever recorded</w:t>
      </w:r>
      <w:r w:rsidR="005D180A">
        <w:t>.</w:t>
      </w:r>
      <w:r w:rsidR="0021682D">
        <w:rPr>
          <w:rStyle w:val="FootnoteReference"/>
        </w:rPr>
        <w:footnoteReference w:id="3"/>
      </w:r>
      <w:r w:rsidR="005D180A">
        <w:t xml:space="preserve"> </w:t>
      </w:r>
      <w:r w:rsidR="0029742C">
        <w:t xml:space="preserve">Because of the </w:t>
      </w:r>
      <w:r w:rsidR="001C5CE1">
        <w:t>regu</w:t>
      </w:r>
      <w:r w:rsidR="00E474A3">
        <w:t>lations, in-store distributors were forced to stop</w:t>
      </w:r>
      <w:r w:rsidR="001C5CE1">
        <w:t xml:space="preserve"> selling fruit flavored nicotine pods but the JUUL website still </w:t>
      </w:r>
      <w:r w:rsidR="00E474A3">
        <w:t xml:space="preserve">can continue to sell all flavors after it </w:t>
      </w:r>
      <w:proofErr w:type="spellStart"/>
      <w:r w:rsidR="00E474A3">
        <w:t>verifys</w:t>
      </w:r>
      <w:proofErr w:type="spellEnd"/>
      <w:r w:rsidR="001C5CE1">
        <w:t xml:space="preserve"> customers are over the age of 21. Retailors include convenience stores, specialty vape shops, gas stations, and the JUUL website</w:t>
      </w:r>
      <w:r w:rsidR="00804321">
        <w:t xml:space="preserve">. JUUL users can find other fruity nicotine flavors through alternative brands “selling their own versions of the nicotine pods that are compatible with JUUL </w:t>
      </w:r>
      <w:r w:rsidR="0021682D">
        <w:t>pens</w:t>
      </w:r>
      <w:r w:rsidR="00804321">
        <w:t>.</w:t>
      </w:r>
      <w:r w:rsidR="0021682D">
        <w:t>”</w:t>
      </w:r>
      <w:r w:rsidR="0021682D">
        <w:rPr>
          <w:rStyle w:val="FootnoteReference"/>
        </w:rPr>
        <w:footnoteReference w:id="4"/>
      </w:r>
      <w:r w:rsidR="00804321">
        <w:t xml:space="preserve"> </w:t>
      </w:r>
      <w:r w:rsidR="00B31626">
        <w:t xml:space="preserve">JUUL Labs, Inc. is the manufacturer that has facilities located domestically and internationally </w:t>
      </w:r>
      <w:r w:rsidR="00BC4D94">
        <w:t>with vendors such as Restriction of Hazardous Substances (RoHS) and Electromagnetic Compatibility (EMC)</w:t>
      </w:r>
      <w:r w:rsidR="00B0381B">
        <w:t xml:space="preserve"> to “ensure international and U.S. safe</w:t>
      </w:r>
      <w:r w:rsidR="00515809">
        <w:t>ty and quality standards</w:t>
      </w:r>
      <w:r w:rsidR="00B0381B">
        <w:t>.</w:t>
      </w:r>
      <w:r w:rsidR="00515809">
        <w:t>”</w:t>
      </w:r>
      <w:r w:rsidR="00515809">
        <w:rPr>
          <w:rStyle w:val="FootnoteReference"/>
        </w:rPr>
        <w:footnoteReference w:id="5"/>
      </w:r>
      <w:r w:rsidR="00B0381B">
        <w:t xml:space="preserve"> </w:t>
      </w:r>
    </w:p>
    <w:p w:rsidR="00A904BF" w:rsidRPr="00A904BF" w:rsidRDefault="00A56B1C" w:rsidP="00A56B1C">
      <w:pPr>
        <w:ind w:firstLine="720"/>
      </w:pPr>
      <w:r>
        <w:t xml:space="preserve">Initially, JUUL management and employees were against the FDA regulations placed on the popular e-cigarette. </w:t>
      </w:r>
      <w:r w:rsidR="00F3735A">
        <w:t xml:space="preserve">But when the FDA statistics were released, disclosing the significant increase of teen vaping, the upper management of JUUL reconsidered the fruity END distribution. </w:t>
      </w:r>
      <w:r w:rsidR="00486E04">
        <w:t>JUUL management shutdown the U.S. based Facebook and Instagram social medias and wanted to “remove themselves from participation in the socia</w:t>
      </w:r>
      <w:r w:rsidR="00B63DA4">
        <w:t>l conversation</w:t>
      </w:r>
      <w:r w:rsidR="00486E04">
        <w:t>.</w:t>
      </w:r>
      <w:r w:rsidR="00B63DA4">
        <w:t>”</w:t>
      </w:r>
      <w:r w:rsidR="00B63DA4">
        <w:rPr>
          <w:rStyle w:val="FootnoteReference"/>
        </w:rPr>
        <w:footnoteReference w:id="6"/>
      </w:r>
      <w:r w:rsidR="00486E04">
        <w:t xml:space="preserve"> </w:t>
      </w:r>
      <w:r w:rsidR="00D8063B">
        <w:t xml:space="preserve">JUUL Chief Executive Officer Kevin Burns </w:t>
      </w:r>
      <w:r w:rsidR="007D6EDB">
        <w:t xml:space="preserve">stated JUUL’s intention was to </w:t>
      </w:r>
      <w:r w:rsidR="00D25B32">
        <w:t xml:space="preserve">help adult smokers quit </w:t>
      </w:r>
      <w:r w:rsidR="00EC2371">
        <w:t xml:space="preserve">smoking cigarettes </w:t>
      </w:r>
      <w:r w:rsidR="00E474A3">
        <w:t>but “intent [was]</w:t>
      </w:r>
      <w:r w:rsidR="00F51037">
        <w:t xml:space="preserve"> not enough” after the numbers of teen us</w:t>
      </w:r>
      <w:r w:rsidR="00B63DA4">
        <w:t xml:space="preserve">e was </w:t>
      </w:r>
      <w:r w:rsidR="00E474A3">
        <w:t xml:space="preserve">seen as a huge </w:t>
      </w:r>
      <w:r w:rsidR="00B63DA4">
        <w:t>unintended consequence.</w:t>
      </w:r>
      <w:r w:rsidR="00B63DA4">
        <w:rPr>
          <w:rStyle w:val="FootnoteReference"/>
        </w:rPr>
        <w:footnoteReference w:id="7"/>
      </w:r>
      <w:r w:rsidR="00B63DA4">
        <w:t xml:space="preserve"> </w:t>
      </w:r>
      <w:r w:rsidR="00F51037">
        <w:t xml:space="preserve">JUUL’s management had a difficult decision to </w:t>
      </w:r>
      <w:r w:rsidR="00095BEE">
        <w:t>halt the distribution of fruity ENDS to retailors because by restricting sales, it is expected to c</w:t>
      </w:r>
      <w:r w:rsidR="00B63DA4">
        <w:t>ut instore retail sales by 45%.</w:t>
      </w:r>
      <w:r w:rsidR="00B63DA4">
        <w:rPr>
          <w:rStyle w:val="FootnoteReference"/>
        </w:rPr>
        <w:footnoteReference w:id="8"/>
      </w:r>
      <w:r w:rsidR="00B63DA4">
        <w:t xml:space="preserve"> </w:t>
      </w:r>
      <w:r w:rsidR="00AF5453">
        <w:t xml:space="preserve">Although sales decreased, JUUL management </w:t>
      </w:r>
      <w:r w:rsidR="007B44E9">
        <w:t xml:space="preserve">decided on an ethical and socially advantageous solution to hinder teen vaping. </w:t>
      </w:r>
      <w:r w:rsidR="00425886">
        <w:t xml:space="preserve">JUUL’s decision was a two-way symmetrical </w:t>
      </w:r>
      <w:r w:rsidR="00425886">
        <w:lastRenderedPageBreak/>
        <w:t xml:space="preserve">decision because of the regulations put upon the organization and it created a way for the publics and management to have open communication about the effects of JUUL products. </w:t>
      </w:r>
      <w:r w:rsidR="00D8169A">
        <w:t xml:space="preserve">JUUL is also aware there are alternative brands that offer fruity nicotine pods that are compatible with JUUL that will still aid JUUL sales because customers need to buy the JUUL stick. </w:t>
      </w:r>
      <w:r w:rsidR="00E43573">
        <w:t xml:space="preserve">JUUL device users include adult smokers </w:t>
      </w:r>
      <w:r w:rsidR="002D0EE5">
        <w:t>with desires</w:t>
      </w:r>
      <w:r w:rsidR="00E43573">
        <w:t xml:space="preserve"> to quit smoking, </w:t>
      </w:r>
      <w:r w:rsidR="002D0EE5">
        <w:t>15 to 17 year-olds</w:t>
      </w:r>
      <w:r w:rsidR="00E43573">
        <w:t xml:space="preserve">, </w:t>
      </w:r>
      <w:r w:rsidR="002D0EE5">
        <w:t xml:space="preserve">18 to 21 year-olds and </w:t>
      </w:r>
      <w:r w:rsidR="00E43573">
        <w:t xml:space="preserve">college </w:t>
      </w:r>
      <w:r w:rsidR="002D0EE5">
        <w:t xml:space="preserve">students. </w:t>
      </w:r>
      <w:r w:rsidR="009442EF">
        <w:t xml:space="preserve">The Truth Initiative Study reported that the age group of 15-17 year-olds were 16 times greater odds to be current JUUL users compared to those aged 25-34. </w:t>
      </w:r>
      <w:r w:rsidR="003032D5">
        <w:t>Reports and studies such as these encouraged JUUL management to halt in-store distribution of</w:t>
      </w:r>
      <w:r w:rsidR="000D500E">
        <w:t xml:space="preserve"> fruity pods and social medias. JUUL’s shareholders include </w:t>
      </w:r>
      <w:r w:rsidR="006634AB">
        <w:t>Tiger Global Management, Fidelity Investments and Altria Group, Inc. JUUL Lab, Inc. is “one of the most highly valued technology startups, surpassing Space Exploration Technologies Corp. and Airbnb Inc.” making all shareholders involved highly motivated to invest or highly concerned with the succe</w:t>
      </w:r>
      <w:r w:rsidR="00B63DA4">
        <w:t>ss or failures of JUUL products</w:t>
      </w:r>
      <w:r w:rsidR="00B63DA4">
        <w:rPr>
          <w:rStyle w:val="FootnoteReference"/>
        </w:rPr>
        <w:footnoteReference w:id="9"/>
      </w:r>
      <w:r w:rsidR="006634AB">
        <w:t xml:space="preserve">. </w:t>
      </w:r>
      <w:r w:rsidR="004B0DEC">
        <w:t>JUUL management used a portion of the Altria “cash injection to pay dividends to its shareholders and give a cash bonus to its staff,” which produces an efficient way to keep stakeholders and employees satisfied with</w:t>
      </w:r>
      <w:r w:rsidR="00B63DA4">
        <w:t xml:space="preserve"> the JUUL organization</w:t>
      </w:r>
      <w:r w:rsidR="004B0DEC">
        <w:t>.</w:t>
      </w:r>
      <w:r w:rsidR="00B63DA4">
        <w:rPr>
          <w:rStyle w:val="FootnoteReference"/>
        </w:rPr>
        <w:footnoteReference w:id="10"/>
      </w:r>
      <w:r w:rsidR="004B0DEC">
        <w:t xml:space="preserve"> </w:t>
      </w:r>
      <w:r w:rsidR="00C746CE">
        <w:t xml:space="preserve">JUUL has strategically invested dividend payments, handled unforeseen issues and regulations and will most likely continue to be seen as an efficient company in public relations standards. </w:t>
      </w:r>
    </w:p>
    <w:p w:rsidR="006634AB" w:rsidRPr="00603BC9" w:rsidRDefault="006634AB" w:rsidP="00603BC9"/>
    <w:p w:rsidR="00343A96" w:rsidRPr="00811D38" w:rsidRDefault="00811D38" w:rsidP="00343A96">
      <w:pPr>
        <w:rPr>
          <w:b/>
        </w:rPr>
      </w:pPr>
      <w:r>
        <w:rPr>
          <w:b/>
        </w:rPr>
        <w:t>Publics</w:t>
      </w:r>
    </w:p>
    <w:p w:rsidR="00343A96" w:rsidRDefault="00343A96" w:rsidP="00343A96"/>
    <w:p w:rsidR="00343A96" w:rsidRDefault="00E47EF6" w:rsidP="00C27050">
      <w:pPr>
        <w:ind w:firstLine="360"/>
      </w:pPr>
      <w:r>
        <w:t xml:space="preserve">Based on Jim </w:t>
      </w:r>
      <w:proofErr w:type="spellStart"/>
      <w:r>
        <w:t>Grunig’s</w:t>
      </w:r>
      <w:proofErr w:type="spellEnd"/>
      <w:r>
        <w:t xml:space="preserve"> </w:t>
      </w:r>
      <w:r w:rsidR="003100F4">
        <w:t>situational</w:t>
      </w:r>
      <w:r>
        <w:t xml:space="preserve"> theory, </w:t>
      </w:r>
      <w:r w:rsidR="00BB3658">
        <w:t>JUUL’s stakeholders can fall under different publics categories</w:t>
      </w:r>
      <w:r w:rsidR="00105B8C">
        <w:t xml:space="preserve"> of</w:t>
      </w:r>
      <w:r w:rsidR="00BB3658">
        <w:t xml:space="preserve"> </w:t>
      </w:r>
      <w:r w:rsidR="009D2148">
        <w:t xml:space="preserve">active, aware, latent or nonpublics. </w:t>
      </w:r>
      <w:r w:rsidR="00216666">
        <w:t>The JUUL regulator stakeholder group is particularly influential</w:t>
      </w:r>
      <w:r w:rsidR="00B269F3">
        <w:t xml:space="preserve"> to JUUL</w:t>
      </w:r>
      <w:r w:rsidR="00216666">
        <w:t xml:space="preserve"> because of the supervision and control administered upon JUUL Labs, Inc. </w:t>
      </w:r>
      <w:r w:rsidR="00B269F3">
        <w:t xml:space="preserve">and the organized actions that are a result of the active efforts of these regulators. </w:t>
      </w:r>
      <w:r w:rsidR="00216666">
        <w:t>Regulators such as the FDA</w:t>
      </w:r>
      <w:r w:rsidR="00AA0CC2">
        <w:t xml:space="preserve"> (US Food and Drug Administration)</w:t>
      </w:r>
      <w:r w:rsidR="00216666">
        <w:t xml:space="preserve"> and FTC</w:t>
      </w:r>
      <w:r w:rsidR="00AA0CC2">
        <w:t xml:space="preserve"> (Federal Trade Commission)</w:t>
      </w:r>
      <w:r w:rsidR="00216666">
        <w:t xml:space="preserve"> are </w:t>
      </w:r>
      <w:r w:rsidR="00634E20">
        <w:t xml:space="preserve">active publics </w:t>
      </w:r>
      <w:r w:rsidR="009068DB">
        <w:t>regarding JUUL because both organizations are aware of the increased teen vaping issue</w:t>
      </w:r>
      <w:r w:rsidR="00AA0CC2">
        <w:t xml:space="preserve"> caused by JUUL Labs,</w:t>
      </w:r>
      <w:r w:rsidR="009068DB">
        <w:t xml:space="preserve"> and have organized and completed research</w:t>
      </w:r>
      <w:r w:rsidR="00AA0CC2">
        <w:t xml:space="preserve"> over the effects of JUUL pro</w:t>
      </w:r>
      <w:r w:rsidR="002123DF">
        <w:t xml:space="preserve">ducts and teen vaping levels. </w:t>
      </w:r>
      <w:r w:rsidR="00C27050">
        <w:t xml:space="preserve">In the situational theory, </w:t>
      </w:r>
      <w:proofErr w:type="spellStart"/>
      <w:r w:rsidR="00C27050">
        <w:t>Grunig</w:t>
      </w:r>
      <w:proofErr w:type="spellEnd"/>
      <w:r w:rsidR="00C27050">
        <w:t xml:space="preserve"> outlines that PR practitioners must collect data to determine if organizational behavior affects its publics in any way, understand its publics’ levels of awareness of the issue and if the publics’ are organizing or communicating with one another to do something about it</w:t>
      </w:r>
      <w:r w:rsidR="000C7FD8">
        <w:t>.</w:t>
      </w:r>
      <w:r w:rsidR="00C27050">
        <w:rPr>
          <w:rStyle w:val="FootnoteReference"/>
        </w:rPr>
        <w:footnoteReference w:id="11"/>
      </w:r>
      <w:r w:rsidR="00F308D5">
        <w:t xml:space="preserve"> According to the theory, JUUL regulators are clearly aware of the issue JUUL generated by</w:t>
      </w:r>
      <w:r w:rsidR="000242C0">
        <w:t xml:space="preserve"> restricting</w:t>
      </w:r>
      <w:r w:rsidR="00F308D5">
        <w:t xml:space="preserve"> </w:t>
      </w:r>
      <w:r w:rsidR="000242C0">
        <w:t>sales of fruity flavors of JUUL pods.</w:t>
      </w:r>
      <w:r w:rsidR="000242C0">
        <w:rPr>
          <w:rStyle w:val="FootnoteReference"/>
        </w:rPr>
        <w:footnoteReference w:id="12"/>
      </w:r>
      <w:r w:rsidR="00D0456A">
        <w:t xml:space="preserve"> </w:t>
      </w:r>
      <w:r w:rsidR="00763991">
        <w:t>To segment th</w:t>
      </w:r>
      <w:r w:rsidR="00757322">
        <w:t xml:space="preserve">e JUUL regulators even more so based on the “Eight Kinds of Publics Defined by the Three Independent Variables of the </w:t>
      </w:r>
      <w:proofErr w:type="spellStart"/>
      <w:r w:rsidR="00757322">
        <w:t>Grunig</w:t>
      </w:r>
      <w:proofErr w:type="spellEnd"/>
      <w:r w:rsidR="00757322">
        <w:t xml:space="preserve"> Theory of Communication Behavior,” regulators are classified as </w:t>
      </w:r>
      <w:r w:rsidR="00C9153A">
        <w:t>problem facing.</w:t>
      </w:r>
      <w:r w:rsidR="00C9153A">
        <w:rPr>
          <w:rStyle w:val="FootnoteReference"/>
        </w:rPr>
        <w:footnoteReference w:id="13"/>
      </w:r>
      <w:r w:rsidR="00757322">
        <w:t xml:space="preserve"> </w:t>
      </w:r>
      <w:r w:rsidR="008F0B20">
        <w:t>Problem facing behavior is when members of a public recognize the problem caused by a particular organizational consequence and face no constraints to do something about the consequence or issue.</w:t>
      </w:r>
      <w:r w:rsidR="008F0B20">
        <w:rPr>
          <w:rStyle w:val="FootnoteReference"/>
        </w:rPr>
        <w:footnoteReference w:id="14"/>
      </w:r>
      <w:r w:rsidR="008F0B20">
        <w:t xml:space="preserve"> Members of publics with characteristics of problem facing behavior are likely to </w:t>
      </w:r>
      <w:r w:rsidR="00C03522">
        <w:t xml:space="preserve">seek </w:t>
      </w:r>
      <w:r w:rsidR="00C03522">
        <w:lastRenderedPageBreak/>
        <w:t>and process information, be affected by the information and have high involvement within the consequential organization, which makes that public active/aware.</w:t>
      </w:r>
      <w:r w:rsidR="00C03522">
        <w:rPr>
          <w:rStyle w:val="FootnoteReference"/>
        </w:rPr>
        <w:footnoteReference w:id="15"/>
      </w:r>
      <w:r w:rsidR="000A452A">
        <w:t xml:space="preserve"> JUUL regulators exhibit problem facing behavior because </w:t>
      </w:r>
      <w:r w:rsidR="00003D37">
        <w:t xml:space="preserve">they do not face any constraints to conduct research over the addictive qualities of JUUL, the increased number of vaping teens due to JUUL products or any other research questions proposed by regulators. JUUL regulators also are highly likely to seek and process information about JUUL Labs, JUUL products, employees, stakeholders and statistics to deter young potential users. </w:t>
      </w:r>
      <w:r w:rsidR="00B35039">
        <w:t xml:space="preserve">Since JUUL regulators have high levels of involvement about any JUUL related issues, they are considered active/aware publics, making </w:t>
      </w:r>
      <w:r w:rsidR="000E11C5">
        <w:t>regulators</w:t>
      </w:r>
      <w:r w:rsidR="00B35039">
        <w:t xml:space="preserve"> one of the most important publics to the JUUL company. </w:t>
      </w:r>
    </w:p>
    <w:p w:rsidR="00AA5CDA" w:rsidRDefault="000350DC" w:rsidP="00E474A3">
      <w:pPr>
        <w:ind w:firstLine="360"/>
      </w:pPr>
      <w:r>
        <w:t xml:space="preserve">Based on “How to Measure the Variables in the </w:t>
      </w:r>
      <w:proofErr w:type="spellStart"/>
      <w:r>
        <w:t>Grunig</w:t>
      </w:r>
      <w:proofErr w:type="spellEnd"/>
      <w:r>
        <w:t xml:space="preserve"> Theory that Identify Types of Publ</w:t>
      </w:r>
      <w:r w:rsidR="00E474A3">
        <w:t xml:space="preserve">ics,” it is necessary for JUUL stakeholders to measure </w:t>
      </w:r>
      <w:r>
        <w:t xml:space="preserve">problem recognition, constraint recognition and levels of involvement </w:t>
      </w:r>
      <w:r w:rsidR="00E474A3">
        <w:t>over each</w:t>
      </w:r>
      <w:r>
        <w:t xml:space="preserve"> JUUL consequence. </w:t>
      </w:r>
      <w:r w:rsidR="00BA18CB">
        <w:t>As stated above, JUUL’s consequences are t</w:t>
      </w:r>
      <w:r w:rsidR="00B17893">
        <w:t xml:space="preserve">he </w:t>
      </w:r>
      <w:r w:rsidR="000306B2">
        <w:t xml:space="preserve">75% increase of teen vaping, </w:t>
      </w:r>
      <w:r w:rsidR="00BA18CB">
        <w:t xml:space="preserve">easy access to </w:t>
      </w:r>
      <w:r w:rsidR="00B17893">
        <w:t xml:space="preserve">the </w:t>
      </w:r>
      <w:r w:rsidR="00BA18CB">
        <w:t xml:space="preserve">fruity JUUL </w:t>
      </w:r>
      <w:r w:rsidR="00B17893">
        <w:t>nic</w:t>
      </w:r>
      <w:r w:rsidR="009D542A">
        <w:t xml:space="preserve">otine </w:t>
      </w:r>
      <w:r w:rsidR="00BA18CB">
        <w:t>pods</w:t>
      </w:r>
      <w:r w:rsidR="000306B2">
        <w:t xml:space="preserve"> and </w:t>
      </w:r>
      <w:r w:rsidR="008B4839">
        <w:t>JUUL’s ‘unintended’ push toward nicotine addiction</w:t>
      </w:r>
      <w:r w:rsidR="00AA72B7">
        <w:t xml:space="preserve"> and nonsmoking adults are four times liker to start smoking cigarettes after 18 months of vaping</w:t>
      </w:r>
      <w:r w:rsidR="008B4839">
        <w:t>.</w:t>
      </w:r>
      <w:r w:rsidR="008B4839">
        <w:rPr>
          <w:rStyle w:val="FootnoteReference"/>
        </w:rPr>
        <w:footnoteReference w:id="16"/>
      </w:r>
      <w:r w:rsidR="00AA72B7">
        <w:rPr>
          <w:rStyle w:val="FootnoteReference"/>
        </w:rPr>
        <w:footnoteReference w:id="17"/>
      </w:r>
      <w:r w:rsidR="000306B2">
        <w:t xml:space="preserve"> </w:t>
      </w:r>
      <w:r w:rsidR="002772CA">
        <w:t>These consequences are relevant</w:t>
      </w:r>
      <w:r w:rsidR="00EC6BB7">
        <w:t xml:space="preserve"> but not limited</w:t>
      </w:r>
      <w:r w:rsidR="002772CA">
        <w:t xml:space="preserve"> to JUUL regulators because the FDA and FTC both </w:t>
      </w:r>
      <w:r w:rsidR="004D7A53">
        <w:t>accused</w:t>
      </w:r>
      <w:r w:rsidR="002772CA">
        <w:t xml:space="preserve"> JUUL Labs of </w:t>
      </w:r>
      <w:r w:rsidR="004D7A53">
        <w:t xml:space="preserve">advertising JUUL products to youth-based audiences. </w:t>
      </w:r>
      <w:r w:rsidR="000D5CF1">
        <w:t xml:space="preserve">The questionnaire </w:t>
      </w:r>
      <w:r w:rsidR="008E2438">
        <w:t xml:space="preserve">draft </w:t>
      </w:r>
      <w:r w:rsidR="000D5CF1">
        <w:t xml:space="preserve">is as follows: </w:t>
      </w:r>
    </w:p>
    <w:p w:rsidR="008E2438" w:rsidRDefault="008E2438" w:rsidP="00AA5CDA"/>
    <w:p w:rsidR="005359E0" w:rsidRPr="008E2438" w:rsidRDefault="005359E0" w:rsidP="00AA5CDA">
      <w:pPr>
        <w:pStyle w:val="ListParagraph"/>
        <w:numPr>
          <w:ilvl w:val="0"/>
          <w:numId w:val="3"/>
        </w:numPr>
      </w:pPr>
      <w:r>
        <w:t xml:space="preserve">How often do you stop and think over each of following three issues from JUUL. Please indicate by circling if you think about each situation often, sometimes, rarely or never. </w:t>
      </w:r>
    </w:p>
    <w:p w:rsidR="005359E0" w:rsidRDefault="005359E0" w:rsidP="00AA5CDA"/>
    <w:tbl>
      <w:tblPr>
        <w:tblStyle w:val="TableGrid"/>
        <w:tblW w:w="0" w:type="auto"/>
        <w:tblLook w:val="04A0" w:firstRow="1" w:lastRow="0" w:firstColumn="1" w:lastColumn="0" w:noHBand="0" w:noVBand="1"/>
      </w:tblPr>
      <w:tblGrid>
        <w:gridCol w:w="2144"/>
        <w:gridCol w:w="1798"/>
        <w:gridCol w:w="2044"/>
        <w:gridCol w:w="1873"/>
        <w:gridCol w:w="1491"/>
      </w:tblGrid>
      <w:tr w:rsidR="005359E0" w:rsidTr="005359E0">
        <w:tc>
          <w:tcPr>
            <w:tcW w:w="2144" w:type="dxa"/>
          </w:tcPr>
          <w:p w:rsidR="005359E0" w:rsidRDefault="005359E0" w:rsidP="00AA5CDA">
            <w:r>
              <w:t>PROBLEM RECOGNITION:</w:t>
            </w:r>
          </w:p>
        </w:tc>
        <w:tc>
          <w:tcPr>
            <w:tcW w:w="1798" w:type="dxa"/>
          </w:tcPr>
          <w:p w:rsidR="005359E0" w:rsidRDefault="005359E0" w:rsidP="00AA5CDA">
            <w:r>
              <w:t>OFTEN</w:t>
            </w:r>
          </w:p>
        </w:tc>
        <w:tc>
          <w:tcPr>
            <w:tcW w:w="2044" w:type="dxa"/>
          </w:tcPr>
          <w:p w:rsidR="005359E0" w:rsidRDefault="005359E0" w:rsidP="00AA5CDA">
            <w:r>
              <w:t>SOMETIMES</w:t>
            </w:r>
          </w:p>
        </w:tc>
        <w:tc>
          <w:tcPr>
            <w:tcW w:w="1873" w:type="dxa"/>
          </w:tcPr>
          <w:p w:rsidR="005359E0" w:rsidRDefault="005359E0" w:rsidP="00AA5CDA">
            <w:r>
              <w:t>RARELY</w:t>
            </w:r>
          </w:p>
        </w:tc>
        <w:tc>
          <w:tcPr>
            <w:tcW w:w="1491" w:type="dxa"/>
          </w:tcPr>
          <w:p w:rsidR="005359E0" w:rsidRDefault="005359E0" w:rsidP="00AA5CDA">
            <w:r>
              <w:t>NEVER</w:t>
            </w:r>
          </w:p>
        </w:tc>
      </w:tr>
      <w:tr w:rsidR="005359E0" w:rsidTr="005359E0">
        <w:tc>
          <w:tcPr>
            <w:tcW w:w="2144" w:type="dxa"/>
          </w:tcPr>
          <w:p w:rsidR="005359E0" w:rsidRDefault="005359E0" w:rsidP="00AA5CDA">
            <w:r>
              <w:t>75% increase of teen vaping due to JUULs</w:t>
            </w:r>
          </w:p>
        </w:tc>
        <w:tc>
          <w:tcPr>
            <w:tcW w:w="1798" w:type="dxa"/>
          </w:tcPr>
          <w:p w:rsidR="005359E0" w:rsidRDefault="005359E0" w:rsidP="00AA5CDA">
            <w:r>
              <w:t>4</w:t>
            </w:r>
          </w:p>
        </w:tc>
        <w:tc>
          <w:tcPr>
            <w:tcW w:w="2044" w:type="dxa"/>
          </w:tcPr>
          <w:p w:rsidR="005359E0" w:rsidRDefault="005359E0" w:rsidP="00AA5CDA">
            <w:r>
              <w:t>3</w:t>
            </w:r>
          </w:p>
        </w:tc>
        <w:tc>
          <w:tcPr>
            <w:tcW w:w="1873" w:type="dxa"/>
          </w:tcPr>
          <w:p w:rsidR="005359E0" w:rsidRDefault="005359E0" w:rsidP="00AA5CDA">
            <w:r>
              <w:t>2</w:t>
            </w:r>
          </w:p>
        </w:tc>
        <w:tc>
          <w:tcPr>
            <w:tcW w:w="1491" w:type="dxa"/>
          </w:tcPr>
          <w:p w:rsidR="005359E0" w:rsidRDefault="005359E0" w:rsidP="00AA5CDA">
            <w:r>
              <w:t>1</w:t>
            </w:r>
          </w:p>
        </w:tc>
      </w:tr>
      <w:tr w:rsidR="005359E0" w:rsidTr="005359E0">
        <w:tc>
          <w:tcPr>
            <w:tcW w:w="2144" w:type="dxa"/>
          </w:tcPr>
          <w:p w:rsidR="005359E0" w:rsidRDefault="005359E0" w:rsidP="00AA5CDA">
            <w:r>
              <w:t>Easy access to fruity JUUL Pods</w:t>
            </w:r>
          </w:p>
        </w:tc>
        <w:tc>
          <w:tcPr>
            <w:tcW w:w="1798" w:type="dxa"/>
          </w:tcPr>
          <w:p w:rsidR="005359E0" w:rsidRDefault="005359E0" w:rsidP="00AA5CDA">
            <w:r>
              <w:t>4</w:t>
            </w:r>
          </w:p>
        </w:tc>
        <w:tc>
          <w:tcPr>
            <w:tcW w:w="2044" w:type="dxa"/>
          </w:tcPr>
          <w:p w:rsidR="005359E0" w:rsidRDefault="005359E0" w:rsidP="00AA5CDA">
            <w:r>
              <w:t>3</w:t>
            </w:r>
          </w:p>
        </w:tc>
        <w:tc>
          <w:tcPr>
            <w:tcW w:w="1873" w:type="dxa"/>
          </w:tcPr>
          <w:p w:rsidR="005359E0" w:rsidRDefault="005359E0" w:rsidP="00AA5CDA">
            <w:r>
              <w:t>2</w:t>
            </w:r>
          </w:p>
        </w:tc>
        <w:tc>
          <w:tcPr>
            <w:tcW w:w="1491" w:type="dxa"/>
          </w:tcPr>
          <w:p w:rsidR="005359E0" w:rsidRDefault="005359E0" w:rsidP="00AA5CDA">
            <w:r>
              <w:t>1</w:t>
            </w:r>
          </w:p>
        </w:tc>
      </w:tr>
      <w:tr w:rsidR="005359E0" w:rsidTr="005359E0">
        <w:tc>
          <w:tcPr>
            <w:tcW w:w="2144" w:type="dxa"/>
          </w:tcPr>
          <w:p w:rsidR="005359E0" w:rsidRDefault="00785E5F" w:rsidP="00AA5CDA">
            <w:r>
              <w:t>JUUL’s ‘unintended’ push toward nicotine addiction and adverse health risks for emotional and physical development</w:t>
            </w:r>
          </w:p>
        </w:tc>
        <w:tc>
          <w:tcPr>
            <w:tcW w:w="1798" w:type="dxa"/>
          </w:tcPr>
          <w:p w:rsidR="005359E0" w:rsidRDefault="005359E0" w:rsidP="00AA5CDA">
            <w:r>
              <w:t>4</w:t>
            </w:r>
          </w:p>
        </w:tc>
        <w:tc>
          <w:tcPr>
            <w:tcW w:w="2044" w:type="dxa"/>
          </w:tcPr>
          <w:p w:rsidR="005359E0" w:rsidRDefault="005359E0" w:rsidP="00AA5CDA">
            <w:r>
              <w:t>3</w:t>
            </w:r>
          </w:p>
        </w:tc>
        <w:tc>
          <w:tcPr>
            <w:tcW w:w="1873" w:type="dxa"/>
          </w:tcPr>
          <w:p w:rsidR="005359E0" w:rsidRDefault="005359E0" w:rsidP="00AA5CDA">
            <w:r>
              <w:t>2</w:t>
            </w:r>
          </w:p>
        </w:tc>
        <w:tc>
          <w:tcPr>
            <w:tcW w:w="1491" w:type="dxa"/>
          </w:tcPr>
          <w:p w:rsidR="005359E0" w:rsidRDefault="005359E0" w:rsidP="00AA5CDA">
            <w:r>
              <w:t>1</w:t>
            </w:r>
          </w:p>
        </w:tc>
      </w:tr>
      <w:tr w:rsidR="00AA72B7" w:rsidTr="005359E0">
        <w:tc>
          <w:tcPr>
            <w:tcW w:w="2144" w:type="dxa"/>
          </w:tcPr>
          <w:p w:rsidR="00AA72B7" w:rsidRDefault="00AA72B7" w:rsidP="00AA72B7">
            <w:r>
              <w:t>Nonsmoking adults are 4x liker to start smoking cigarettes after 18 months of vaping</w:t>
            </w:r>
          </w:p>
        </w:tc>
        <w:tc>
          <w:tcPr>
            <w:tcW w:w="1798" w:type="dxa"/>
          </w:tcPr>
          <w:p w:rsidR="00AA72B7" w:rsidRDefault="00AA72B7" w:rsidP="00AA72B7">
            <w:r>
              <w:t>4</w:t>
            </w:r>
          </w:p>
        </w:tc>
        <w:tc>
          <w:tcPr>
            <w:tcW w:w="2044" w:type="dxa"/>
          </w:tcPr>
          <w:p w:rsidR="00AA72B7" w:rsidRDefault="00AA72B7" w:rsidP="00AA72B7">
            <w:r>
              <w:t>3</w:t>
            </w:r>
          </w:p>
        </w:tc>
        <w:tc>
          <w:tcPr>
            <w:tcW w:w="1873" w:type="dxa"/>
          </w:tcPr>
          <w:p w:rsidR="00AA72B7" w:rsidRDefault="00AA72B7" w:rsidP="00AA72B7">
            <w:r>
              <w:t>2</w:t>
            </w:r>
          </w:p>
        </w:tc>
        <w:tc>
          <w:tcPr>
            <w:tcW w:w="1491" w:type="dxa"/>
          </w:tcPr>
          <w:p w:rsidR="00AA72B7" w:rsidRDefault="00AA72B7" w:rsidP="00AA72B7">
            <w:r>
              <w:t>1</w:t>
            </w:r>
          </w:p>
        </w:tc>
      </w:tr>
    </w:tbl>
    <w:p w:rsidR="00E73940" w:rsidRPr="00AA5CDA" w:rsidRDefault="00E73940" w:rsidP="00AA5CDA"/>
    <w:p w:rsidR="00AA5CDA" w:rsidRDefault="005359E0" w:rsidP="00AA5CDA">
      <w:pPr>
        <w:pStyle w:val="ListParagraph"/>
        <w:numPr>
          <w:ilvl w:val="0"/>
          <w:numId w:val="3"/>
        </w:numPr>
      </w:pPr>
      <w:r>
        <w:t xml:space="preserve">When someone feels constrained by an issue, they feel like they cannot do anything about an issue. This next question represents a measure of constraint recognition. </w:t>
      </w:r>
      <w:r w:rsidR="00AA5CDA">
        <w:t>Do you think whether</w:t>
      </w:r>
      <w:r>
        <w:t xml:space="preserve"> if</w:t>
      </w:r>
      <w:r w:rsidR="00AA5CDA">
        <w:t xml:space="preserve"> you c</w:t>
      </w:r>
      <w:r>
        <w:t xml:space="preserve">ould </w:t>
      </w:r>
      <w:r w:rsidR="00AA5CDA">
        <w:t xml:space="preserve">personally do anything </w:t>
      </w:r>
      <w:r>
        <w:t>about JUUL’s issues, would it make a difference in the way things are handled?</w:t>
      </w:r>
      <w:r w:rsidR="00AA5CDA">
        <w:t xml:space="preserve"> </w:t>
      </w:r>
      <w:r>
        <w:t xml:space="preserve">If you wanted to do something, would your efforts make a great deal of difference, some difference, very little difference or no difference? Please circle what you feel: </w:t>
      </w:r>
    </w:p>
    <w:p w:rsidR="005359E0" w:rsidRDefault="005359E0" w:rsidP="005359E0"/>
    <w:tbl>
      <w:tblPr>
        <w:tblStyle w:val="TableGrid"/>
        <w:tblW w:w="0" w:type="auto"/>
        <w:tblLook w:val="04A0" w:firstRow="1" w:lastRow="0" w:firstColumn="1" w:lastColumn="0" w:noHBand="0" w:noVBand="1"/>
      </w:tblPr>
      <w:tblGrid>
        <w:gridCol w:w="2144"/>
        <w:gridCol w:w="1798"/>
        <w:gridCol w:w="2044"/>
        <w:gridCol w:w="1873"/>
        <w:gridCol w:w="1491"/>
      </w:tblGrid>
      <w:tr w:rsidR="005359E0" w:rsidTr="005C141D">
        <w:tc>
          <w:tcPr>
            <w:tcW w:w="2144" w:type="dxa"/>
          </w:tcPr>
          <w:p w:rsidR="005359E0" w:rsidRDefault="005359E0" w:rsidP="005C141D">
            <w:r>
              <w:t>CONSTRAINT RECOGNITION:</w:t>
            </w:r>
          </w:p>
        </w:tc>
        <w:tc>
          <w:tcPr>
            <w:tcW w:w="1798" w:type="dxa"/>
          </w:tcPr>
          <w:p w:rsidR="005359E0" w:rsidRDefault="005359E0" w:rsidP="005C141D">
            <w:r>
              <w:t>GREAT DEAL</w:t>
            </w:r>
          </w:p>
        </w:tc>
        <w:tc>
          <w:tcPr>
            <w:tcW w:w="2044" w:type="dxa"/>
          </w:tcPr>
          <w:p w:rsidR="005359E0" w:rsidRDefault="005359E0" w:rsidP="005C141D">
            <w:r>
              <w:t>SOME</w:t>
            </w:r>
          </w:p>
        </w:tc>
        <w:tc>
          <w:tcPr>
            <w:tcW w:w="1873" w:type="dxa"/>
          </w:tcPr>
          <w:p w:rsidR="005359E0" w:rsidRDefault="005359E0" w:rsidP="005C141D">
            <w:r>
              <w:t>VERY LITTLE</w:t>
            </w:r>
          </w:p>
        </w:tc>
        <w:tc>
          <w:tcPr>
            <w:tcW w:w="1491" w:type="dxa"/>
          </w:tcPr>
          <w:p w:rsidR="005359E0" w:rsidRDefault="005359E0" w:rsidP="005C141D">
            <w:r>
              <w:t>NONE</w:t>
            </w:r>
          </w:p>
        </w:tc>
      </w:tr>
      <w:tr w:rsidR="005359E0" w:rsidTr="005C141D">
        <w:tc>
          <w:tcPr>
            <w:tcW w:w="2144" w:type="dxa"/>
          </w:tcPr>
          <w:p w:rsidR="005359E0" w:rsidRDefault="005359E0" w:rsidP="005C141D">
            <w:r>
              <w:t>75% increase of teen vaping due to JUULs</w:t>
            </w:r>
          </w:p>
        </w:tc>
        <w:tc>
          <w:tcPr>
            <w:tcW w:w="1798" w:type="dxa"/>
          </w:tcPr>
          <w:p w:rsidR="005359E0" w:rsidRDefault="005359E0" w:rsidP="005C141D">
            <w:r>
              <w:t>4</w:t>
            </w:r>
          </w:p>
        </w:tc>
        <w:tc>
          <w:tcPr>
            <w:tcW w:w="2044" w:type="dxa"/>
          </w:tcPr>
          <w:p w:rsidR="005359E0" w:rsidRDefault="005359E0" w:rsidP="005C141D">
            <w:r>
              <w:t>3</w:t>
            </w:r>
          </w:p>
        </w:tc>
        <w:tc>
          <w:tcPr>
            <w:tcW w:w="1873" w:type="dxa"/>
          </w:tcPr>
          <w:p w:rsidR="005359E0" w:rsidRDefault="005359E0" w:rsidP="005C141D">
            <w:r>
              <w:t>2</w:t>
            </w:r>
          </w:p>
        </w:tc>
        <w:tc>
          <w:tcPr>
            <w:tcW w:w="1491" w:type="dxa"/>
          </w:tcPr>
          <w:p w:rsidR="005359E0" w:rsidRDefault="005359E0" w:rsidP="005C141D">
            <w:r>
              <w:t>1</w:t>
            </w:r>
          </w:p>
        </w:tc>
      </w:tr>
      <w:tr w:rsidR="005359E0" w:rsidTr="005C141D">
        <w:tc>
          <w:tcPr>
            <w:tcW w:w="2144" w:type="dxa"/>
          </w:tcPr>
          <w:p w:rsidR="005359E0" w:rsidRDefault="005359E0" w:rsidP="005C141D">
            <w:r>
              <w:t>Easy access to fruity JUUL Pods</w:t>
            </w:r>
          </w:p>
        </w:tc>
        <w:tc>
          <w:tcPr>
            <w:tcW w:w="1798" w:type="dxa"/>
          </w:tcPr>
          <w:p w:rsidR="005359E0" w:rsidRDefault="005359E0" w:rsidP="005C141D">
            <w:r>
              <w:t>4</w:t>
            </w:r>
          </w:p>
        </w:tc>
        <w:tc>
          <w:tcPr>
            <w:tcW w:w="2044" w:type="dxa"/>
          </w:tcPr>
          <w:p w:rsidR="005359E0" w:rsidRDefault="005359E0" w:rsidP="005C141D">
            <w:r>
              <w:t>3</w:t>
            </w:r>
          </w:p>
        </w:tc>
        <w:tc>
          <w:tcPr>
            <w:tcW w:w="1873" w:type="dxa"/>
          </w:tcPr>
          <w:p w:rsidR="005359E0" w:rsidRDefault="005359E0" w:rsidP="005C141D">
            <w:r>
              <w:t>2</w:t>
            </w:r>
          </w:p>
        </w:tc>
        <w:tc>
          <w:tcPr>
            <w:tcW w:w="1491" w:type="dxa"/>
          </w:tcPr>
          <w:p w:rsidR="005359E0" w:rsidRDefault="005359E0" w:rsidP="005C141D">
            <w:r>
              <w:t>1</w:t>
            </w:r>
          </w:p>
        </w:tc>
      </w:tr>
      <w:tr w:rsidR="005359E0" w:rsidTr="005C141D">
        <w:tc>
          <w:tcPr>
            <w:tcW w:w="2144" w:type="dxa"/>
          </w:tcPr>
          <w:p w:rsidR="005359E0" w:rsidRDefault="00785E5F" w:rsidP="005C141D">
            <w:r>
              <w:t>JUUL’s ‘unintended’ push toward nicotine addiction</w:t>
            </w:r>
            <w:r w:rsidR="0071236F">
              <w:t xml:space="preserve"> and adverse health risks for </w:t>
            </w:r>
            <w:r>
              <w:t>emotional and physical development</w:t>
            </w:r>
          </w:p>
        </w:tc>
        <w:tc>
          <w:tcPr>
            <w:tcW w:w="1798" w:type="dxa"/>
          </w:tcPr>
          <w:p w:rsidR="005359E0" w:rsidRDefault="005359E0" w:rsidP="005C141D">
            <w:r>
              <w:t>4</w:t>
            </w:r>
          </w:p>
        </w:tc>
        <w:tc>
          <w:tcPr>
            <w:tcW w:w="2044" w:type="dxa"/>
          </w:tcPr>
          <w:p w:rsidR="005359E0" w:rsidRDefault="005359E0" w:rsidP="005C141D">
            <w:r>
              <w:t>3</w:t>
            </w:r>
          </w:p>
        </w:tc>
        <w:tc>
          <w:tcPr>
            <w:tcW w:w="1873" w:type="dxa"/>
          </w:tcPr>
          <w:p w:rsidR="005359E0" w:rsidRDefault="005359E0" w:rsidP="005C141D">
            <w:r>
              <w:t>2</w:t>
            </w:r>
          </w:p>
        </w:tc>
        <w:tc>
          <w:tcPr>
            <w:tcW w:w="1491" w:type="dxa"/>
          </w:tcPr>
          <w:p w:rsidR="005359E0" w:rsidRDefault="005359E0" w:rsidP="005C141D">
            <w:r>
              <w:t>1</w:t>
            </w:r>
          </w:p>
        </w:tc>
      </w:tr>
      <w:tr w:rsidR="009326C3" w:rsidTr="005C141D">
        <w:tc>
          <w:tcPr>
            <w:tcW w:w="2144" w:type="dxa"/>
          </w:tcPr>
          <w:p w:rsidR="009326C3" w:rsidRDefault="0071236F" w:rsidP="009326C3">
            <w:r>
              <w:t>Nonsmoking</w:t>
            </w:r>
            <w:r w:rsidR="00AA72B7">
              <w:t xml:space="preserve"> adults</w:t>
            </w:r>
            <w:r>
              <w:t xml:space="preserve"> are </w:t>
            </w:r>
            <w:r w:rsidR="00AA72B7">
              <w:t>4x liker to start smoking cigarettes after 18 months of vaping</w:t>
            </w:r>
          </w:p>
        </w:tc>
        <w:tc>
          <w:tcPr>
            <w:tcW w:w="1798" w:type="dxa"/>
          </w:tcPr>
          <w:p w:rsidR="009326C3" w:rsidRDefault="009326C3" w:rsidP="009326C3">
            <w:r>
              <w:t>4</w:t>
            </w:r>
          </w:p>
        </w:tc>
        <w:tc>
          <w:tcPr>
            <w:tcW w:w="2044" w:type="dxa"/>
          </w:tcPr>
          <w:p w:rsidR="009326C3" w:rsidRDefault="009326C3" w:rsidP="009326C3">
            <w:r>
              <w:t>3</w:t>
            </w:r>
          </w:p>
        </w:tc>
        <w:tc>
          <w:tcPr>
            <w:tcW w:w="1873" w:type="dxa"/>
          </w:tcPr>
          <w:p w:rsidR="009326C3" w:rsidRDefault="009326C3" w:rsidP="009326C3">
            <w:r>
              <w:t>2</w:t>
            </w:r>
          </w:p>
        </w:tc>
        <w:tc>
          <w:tcPr>
            <w:tcW w:w="1491" w:type="dxa"/>
          </w:tcPr>
          <w:p w:rsidR="009326C3" w:rsidRDefault="009326C3" w:rsidP="009326C3">
            <w:r>
              <w:t>1</w:t>
            </w:r>
          </w:p>
        </w:tc>
      </w:tr>
    </w:tbl>
    <w:p w:rsidR="005359E0" w:rsidRPr="005359E0" w:rsidRDefault="005359E0" w:rsidP="005359E0"/>
    <w:p w:rsidR="00AA5CDA" w:rsidRDefault="005359E0" w:rsidP="00AA5CDA">
      <w:pPr>
        <w:pStyle w:val="ListParagraph"/>
        <w:numPr>
          <w:ilvl w:val="0"/>
          <w:numId w:val="3"/>
        </w:numPr>
      </w:pPr>
      <w:r>
        <w:t>To w</w:t>
      </w:r>
      <w:r w:rsidR="00AA5CDA">
        <w:t xml:space="preserve">hat extent do you feel you </w:t>
      </w:r>
      <w:r>
        <w:t>see</w:t>
      </w:r>
      <w:r w:rsidR="00AA5CDA">
        <w:t xml:space="preserve"> a </w:t>
      </w:r>
      <w:r w:rsidR="00AA5CDA" w:rsidRPr="005359E0">
        <w:rPr>
          <w:i/>
        </w:rPr>
        <w:t xml:space="preserve">connection </w:t>
      </w:r>
      <w:r w:rsidR="00AA5CDA">
        <w:t>between yourself, personal</w:t>
      </w:r>
      <w:r>
        <w:t>ly, and each of these situations?</w:t>
      </w:r>
      <w:r w:rsidR="00E12D9E">
        <w:t xml:space="preserve"> A connection is there if you believe the issue has affected or could affect you, personally. Is the connection strong, moderate, weak or no connection at all? Please circle: </w:t>
      </w:r>
    </w:p>
    <w:p w:rsidR="00E12D9E" w:rsidRDefault="00E12D9E" w:rsidP="00E12D9E"/>
    <w:p w:rsidR="00E12D9E" w:rsidRDefault="00E12D9E" w:rsidP="00E12D9E"/>
    <w:tbl>
      <w:tblPr>
        <w:tblStyle w:val="TableGrid"/>
        <w:tblW w:w="0" w:type="auto"/>
        <w:tblLook w:val="04A0" w:firstRow="1" w:lastRow="0" w:firstColumn="1" w:lastColumn="0" w:noHBand="0" w:noVBand="1"/>
      </w:tblPr>
      <w:tblGrid>
        <w:gridCol w:w="2144"/>
        <w:gridCol w:w="1798"/>
        <w:gridCol w:w="2044"/>
        <w:gridCol w:w="1873"/>
        <w:gridCol w:w="1491"/>
      </w:tblGrid>
      <w:tr w:rsidR="00E12D9E" w:rsidTr="005C141D">
        <w:tc>
          <w:tcPr>
            <w:tcW w:w="2144" w:type="dxa"/>
          </w:tcPr>
          <w:p w:rsidR="00E12D9E" w:rsidRDefault="00E12D9E" w:rsidP="005C141D">
            <w:r>
              <w:t>LEVEL OF INVOLVEMENT:</w:t>
            </w:r>
          </w:p>
        </w:tc>
        <w:tc>
          <w:tcPr>
            <w:tcW w:w="1798" w:type="dxa"/>
          </w:tcPr>
          <w:p w:rsidR="00E12D9E" w:rsidRDefault="00E12D9E" w:rsidP="005C141D">
            <w:r>
              <w:t>STRONG</w:t>
            </w:r>
          </w:p>
        </w:tc>
        <w:tc>
          <w:tcPr>
            <w:tcW w:w="2044" w:type="dxa"/>
          </w:tcPr>
          <w:p w:rsidR="00E12D9E" w:rsidRDefault="00E12D9E" w:rsidP="005C141D">
            <w:r>
              <w:t xml:space="preserve">MODERATE </w:t>
            </w:r>
          </w:p>
        </w:tc>
        <w:tc>
          <w:tcPr>
            <w:tcW w:w="1873" w:type="dxa"/>
          </w:tcPr>
          <w:p w:rsidR="00E12D9E" w:rsidRDefault="00E12D9E" w:rsidP="005C141D">
            <w:r>
              <w:t>WEAK</w:t>
            </w:r>
          </w:p>
        </w:tc>
        <w:tc>
          <w:tcPr>
            <w:tcW w:w="1491" w:type="dxa"/>
          </w:tcPr>
          <w:p w:rsidR="00E12D9E" w:rsidRDefault="00E12D9E" w:rsidP="005C141D">
            <w:r>
              <w:t>NONE</w:t>
            </w:r>
          </w:p>
        </w:tc>
      </w:tr>
      <w:tr w:rsidR="00E12D9E" w:rsidTr="005C141D">
        <w:tc>
          <w:tcPr>
            <w:tcW w:w="2144" w:type="dxa"/>
          </w:tcPr>
          <w:p w:rsidR="00E12D9E" w:rsidRDefault="00E12D9E" w:rsidP="005C141D">
            <w:r>
              <w:t>75% increase of teen vaping due to JUULs</w:t>
            </w:r>
          </w:p>
        </w:tc>
        <w:tc>
          <w:tcPr>
            <w:tcW w:w="1798" w:type="dxa"/>
          </w:tcPr>
          <w:p w:rsidR="00E12D9E" w:rsidRDefault="00E12D9E" w:rsidP="005C141D">
            <w:r>
              <w:t>4</w:t>
            </w:r>
          </w:p>
        </w:tc>
        <w:tc>
          <w:tcPr>
            <w:tcW w:w="2044" w:type="dxa"/>
          </w:tcPr>
          <w:p w:rsidR="00E12D9E" w:rsidRDefault="00E12D9E" w:rsidP="005C141D">
            <w:r>
              <w:t>3</w:t>
            </w:r>
          </w:p>
        </w:tc>
        <w:tc>
          <w:tcPr>
            <w:tcW w:w="1873" w:type="dxa"/>
          </w:tcPr>
          <w:p w:rsidR="00E12D9E" w:rsidRDefault="00E12D9E" w:rsidP="005C141D">
            <w:r>
              <w:t>2</w:t>
            </w:r>
          </w:p>
        </w:tc>
        <w:tc>
          <w:tcPr>
            <w:tcW w:w="1491" w:type="dxa"/>
          </w:tcPr>
          <w:p w:rsidR="00E12D9E" w:rsidRDefault="00E12D9E" w:rsidP="005C141D">
            <w:r>
              <w:t>1</w:t>
            </w:r>
          </w:p>
        </w:tc>
      </w:tr>
      <w:tr w:rsidR="00E12D9E" w:rsidTr="005C141D">
        <w:tc>
          <w:tcPr>
            <w:tcW w:w="2144" w:type="dxa"/>
          </w:tcPr>
          <w:p w:rsidR="00E12D9E" w:rsidRDefault="00E12D9E" w:rsidP="005C141D">
            <w:r>
              <w:t>Easy access to fruity JUUL Pods</w:t>
            </w:r>
          </w:p>
        </w:tc>
        <w:tc>
          <w:tcPr>
            <w:tcW w:w="1798" w:type="dxa"/>
          </w:tcPr>
          <w:p w:rsidR="00E12D9E" w:rsidRDefault="00E12D9E" w:rsidP="005C141D">
            <w:r>
              <w:t>4</w:t>
            </w:r>
          </w:p>
        </w:tc>
        <w:tc>
          <w:tcPr>
            <w:tcW w:w="2044" w:type="dxa"/>
          </w:tcPr>
          <w:p w:rsidR="00E12D9E" w:rsidRDefault="00E12D9E" w:rsidP="005C141D">
            <w:r>
              <w:t>3</w:t>
            </w:r>
          </w:p>
        </w:tc>
        <w:tc>
          <w:tcPr>
            <w:tcW w:w="1873" w:type="dxa"/>
          </w:tcPr>
          <w:p w:rsidR="00E12D9E" w:rsidRDefault="00E12D9E" w:rsidP="005C141D">
            <w:r>
              <w:t>2</w:t>
            </w:r>
          </w:p>
        </w:tc>
        <w:tc>
          <w:tcPr>
            <w:tcW w:w="1491" w:type="dxa"/>
          </w:tcPr>
          <w:p w:rsidR="00E12D9E" w:rsidRDefault="00E12D9E" w:rsidP="005C141D">
            <w:r>
              <w:t>1</w:t>
            </w:r>
          </w:p>
        </w:tc>
      </w:tr>
      <w:tr w:rsidR="00E12D9E" w:rsidTr="005C141D">
        <w:tc>
          <w:tcPr>
            <w:tcW w:w="2144" w:type="dxa"/>
          </w:tcPr>
          <w:p w:rsidR="00E12D9E" w:rsidRDefault="00E12D9E" w:rsidP="005C141D">
            <w:r>
              <w:t>JUUL’s ‘unintended’ push toward nicotine addiction</w:t>
            </w:r>
            <w:r w:rsidR="00785E5F">
              <w:t xml:space="preserve"> and </w:t>
            </w:r>
            <w:r w:rsidR="00785E5F">
              <w:lastRenderedPageBreak/>
              <w:t xml:space="preserve">adverse health risks for emotional and physical development </w:t>
            </w:r>
          </w:p>
        </w:tc>
        <w:tc>
          <w:tcPr>
            <w:tcW w:w="1798" w:type="dxa"/>
          </w:tcPr>
          <w:p w:rsidR="00E12D9E" w:rsidRDefault="00E12D9E" w:rsidP="005C141D">
            <w:r>
              <w:lastRenderedPageBreak/>
              <w:t>4</w:t>
            </w:r>
          </w:p>
        </w:tc>
        <w:tc>
          <w:tcPr>
            <w:tcW w:w="2044" w:type="dxa"/>
          </w:tcPr>
          <w:p w:rsidR="00E12D9E" w:rsidRDefault="00E12D9E" w:rsidP="005C141D">
            <w:r>
              <w:t>3</w:t>
            </w:r>
          </w:p>
        </w:tc>
        <w:tc>
          <w:tcPr>
            <w:tcW w:w="1873" w:type="dxa"/>
          </w:tcPr>
          <w:p w:rsidR="00E12D9E" w:rsidRDefault="00E12D9E" w:rsidP="005C141D">
            <w:r>
              <w:t>2</w:t>
            </w:r>
          </w:p>
        </w:tc>
        <w:tc>
          <w:tcPr>
            <w:tcW w:w="1491" w:type="dxa"/>
          </w:tcPr>
          <w:p w:rsidR="00E12D9E" w:rsidRDefault="00E12D9E" w:rsidP="005C141D">
            <w:r>
              <w:t>1</w:t>
            </w:r>
          </w:p>
        </w:tc>
      </w:tr>
      <w:tr w:rsidR="00AA72B7" w:rsidTr="005C141D">
        <w:tc>
          <w:tcPr>
            <w:tcW w:w="2144" w:type="dxa"/>
          </w:tcPr>
          <w:p w:rsidR="00AA72B7" w:rsidRDefault="00AA72B7" w:rsidP="00AA72B7">
            <w:r>
              <w:t>Nonsmoking adults are 4x liker to start smoking cigarettes after 18 months of vaping</w:t>
            </w:r>
          </w:p>
        </w:tc>
        <w:tc>
          <w:tcPr>
            <w:tcW w:w="1798" w:type="dxa"/>
          </w:tcPr>
          <w:p w:rsidR="00AA72B7" w:rsidRDefault="00AA72B7" w:rsidP="00AA72B7">
            <w:r>
              <w:t>4</w:t>
            </w:r>
          </w:p>
        </w:tc>
        <w:tc>
          <w:tcPr>
            <w:tcW w:w="2044" w:type="dxa"/>
          </w:tcPr>
          <w:p w:rsidR="00AA72B7" w:rsidRDefault="00AA72B7" w:rsidP="00AA72B7">
            <w:r>
              <w:t>3</w:t>
            </w:r>
          </w:p>
        </w:tc>
        <w:tc>
          <w:tcPr>
            <w:tcW w:w="1873" w:type="dxa"/>
          </w:tcPr>
          <w:p w:rsidR="00AA72B7" w:rsidRDefault="00AA72B7" w:rsidP="00AA72B7">
            <w:r>
              <w:t>2</w:t>
            </w:r>
          </w:p>
        </w:tc>
        <w:tc>
          <w:tcPr>
            <w:tcW w:w="1491" w:type="dxa"/>
          </w:tcPr>
          <w:p w:rsidR="00AA72B7" w:rsidRDefault="00AA72B7" w:rsidP="00AA72B7">
            <w:r>
              <w:t>1</w:t>
            </w:r>
          </w:p>
        </w:tc>
      </w:tr>
    </w:tbl>
    <w:p w:rsidR="00E12D9E" w:rsidRPr="00E12D9E" w:rsidRDefault="00E12D9E" w:rsidP="00E12D9E"/>
    <w:p w:rsidR="00E12D9E" w:rsidRDefault="00E12D9E" w:rsidP="00E12D9E"/>
    <w:p w:rsidR="00811D38" w:rsidRDefault="00E12D9E" w:rsidP="005B3C77">
      <w:r>
        <w:t xml:space="preserve">This </w:t>
      </w:r>
      <w:r w:rsidR="001B5837">
        <w:t>questionnaire</w:t>
      </w:r>
      <w:r w:rsidR="00531496">
        <w:rPr>
          <w:rStyle w:val="FootnoteReference"/>
        </w:rPr>
        <w:footnoteReference w:id="18"/>
      </w:r>
      <w:r>
        <w:t xml:space="preserve"> will help me </w:t>
      </w:r>
      <w:r w:rsidR="001B5837">
        <w:t xml:space="preserve">understand problem </w:t>
      </w:r>
      <w:r>
        <w:t>recognition</w:t>
      </w:r>
      <w:r w:rsidR="001B5837">
        <w:t>s</w:t>
      </w:r>
      <w:r>
        <w:t>, constraint recognition</w:t>
      </w:r>
      <w:r w:rsidR="001B5837">
        <w:t>s</w:t>
      </w:r>
      <w:r>
        <w:t xml:space="preserve"> and </w:t>
      </w:r>
      <w:r w:rsidR="001B5837">
        <w:t xml:space="preserve">level </w:t>
      </w:r>
      <w:r>
        <w:t>of involvement</w:t>
      </w:r>
      <w:r w:rsidR="001B5837">
        <w:t>s</w:t>
      </w:r>
      <w:r>
        <w:t xml:space="preserve"> for each </w:t>
      </w:r>
      <w:r w:rsidR="001B5837">
        <w:t xml:space="preserve">possible stakeholder I survey. </w:t>
      </w:r>
      <w:r w:rsidR="00F16285">
        <w:t xml:space="preserve">By conducting research, the data collected helps me better perceive attitudes and behaviors of JUUL publics. </w:t>
      </w:r>
    </w:p>
    <w:p w:rsidR="00812ABC" w:rsidRDefault="00812ABC" w:rsidP="00811D38">
      <w:pPr>
        <w:rPr>
          <w:b/>
        </w:rPr>
      </w:pPr>
    </w:p>
    <w:p w:rsidR="00812ABC" w:rsidRDefault="00812ABC" w:rsidP="00811D38">
      <w:pPr>
        <w:rPr>
          <w:b/>
        </w:rPr>
      </w:pPr>
    </w:p>
    <w:p w:rsidR="00812ABC" w:rsidRDefault="00811D38" w:rsidP="00811D38">
      <w:pPr>
        <w:rPr>
          <w:b/>
        </w:rPr>
      </w:pPr>
      <w:r>
        <w:rPr>
          <w:b/>
        </w:rPr>
        <w:t>Issues</w:t>
      </w:r>
    </w:p>
    <w:p w:rsidR="00812ABC" w:rsidRDefault="00812ABC" w:rsidP="00811D38">
      <w:pPr>
        <w:rPr>
          <w:b/>
        </w:rPr>
      </w:pPr>
    </w:p>
    <w:p w:rsidR="00812ABC" w:rsidRDefault="00AC5E26" w:rsidP="00811D38">
      <w:r>
        <w:tab/>
        <w:t xml:space="preserve">Publics consequently create issues out of organizational problems, usually when publics are considered activist groups. </w:t>
      </w:r>
      <w:r w:rsidR="00225827">
        <w:t xml:space="preserve">JUUL Labs </w:t>
      </w:r>
      <w:r w:rsidR="005C141D">
        <w:t xml:space="preserve">has many activist groups </w:t>
      </w:r>
      <w:r w:rsidR="00C73160">
        <w:t>against the organization because the products contain nicotine, which has addictive, unsafe, adverse health risks associated with short and long term use of nicotine.</w:t>
      </w:r>
      <w:r w:rsidR="0052778D">
        <w:t xml:space="preserve"> The Truth is one of the largest activist groups against vaping spe</w:t>
      </w:r>
      <w:r w:rsidR="001F2B08">
        <w:t xml:space="preserve">cifically </w:t>
      </w:r>
      <w:r w:rsidR="00BE4036">
        <w:t>and exposing big tobacco to completely stop</w:t>
      </w:r>
      <w:r w:rsidR="001F2B08">
        <w:t xml:space="preserve"> teen smoking.</w:t>
      </w:r>
      <w:r w:rsidR="001F2B08">
        <w:rPr>
          <w:rStyle w:val="FootnoteReference"/>
        </w:rPr>
        <w:footnoteReference w:id="19"/>
      </w:r>
      <w:r w:rsidR="00B84777">
        <w:t xml:space="preserve"> The Truth is “focused on spreading awareness and </w:t>
      </w:r>
      <w:r w:rsidR="002C33DF">
        <w:t>inspiring</w:t>
      </w:r>
      <w:r w:rsidR="00B84777">
        <w:t xml:space="preserve"> action in the fight to end smoking</w:t>
      </w:r>
      <w:r w:rsidR="002C33DF">
        <w:t>.</w:t>
      </w:r>
      <w:r w:rsidR="00B84777">
        <w:t>”</w:t>
      </w:r>
      <w:r w:rsidR="00B84777">
        <w:rPr>
          <w:rStyle w:val="FootnoteReference"/>
        </w:rPr>
        <w:footnoteReference w:id="20"/>
      </w:r>
      <w:r w:rsidR="002C33DF">
        <w:t xml:space="preserve"> The Truth’s mission is based around</w:t>
      </w:r>
      <w:r w:rsidR="00BF241C">
        <w:t xml:space="preserve"> the consequences of smoking cigarettes or vaping nicotine, so JUUL’s issue of increasing teen vaping by 75% is most in correlation with The Truth.</w:t>
      </w:r>
      <w:r w:rsidR="002C33DF">
        <w:t xml:space="preserve"> </w:t>
      </w:r>
      <w:r w:rsidR="0027522D">
        <w:t xml:space="preserve">The Truth actively creates advertising against the harmful effects of vaping and smoking. </w:t>
      </w:r>
      <w:r w:rsidR="00C8767D">
        <w:t xml:space="preserve">By The Truth focusing on big tobacco as ‘the bad guys’ in the negative smoking cycle, the organization creates a way for both nonsmokers and smokers to have a comfortable platform to ask questions and learn more about quitting. </w:t>
      </w:r>
      <w:r w:rsidR="003B5DFC">
        <w:t xml:space="preserve">The Truth’s activism is focused on the younger population through puppets to encourage </w:t>
      </w:r>
      <w:r w:rsidR="00025AF9">
        <w:t>teens to stop smoking in a fun, interactive way.</w:t>
      </w:r>
      <w:r w:rsidR="00025AF9">
        <w:rPr>
          <w:rStyle w:val="FootnoteReference"/>
        </w:rPr>
        <w:footnoteReference w:id="21"/>
      </w:r>
      <w:r w:rsidR="004C2800">
        <w:t xml:space="preserve"> The Truth’s success</w:t>
      </w:r>
      <w:r w:rsidR="00952BA6">
        <w:t xml:space="preserve"> could hurt</w:t>
      </w:r>
      <w:r w:rsidR="004C2800">
        <w:t xml:space="preserve"> </w:t>
      </w:r>
      <w:r w:rsidR="00952BA6">
        <w:t xml:space="preserve">JUUL’s sales </w:t>
      </w:r>
      <w:r w:rsidR="007B1F32">
        <w:t xml:space="preserve">if The Truth achieves its mission of completely helping stop smoking and vaping altogether. </w:t>
      </w:r>
      <w:r w:rsidR="00CA5AE3">
        <w:t xml:space="preserve">Nicotine and tobacco are both unhealthy, addictive substances, so though highly unlikely, if smoking does cease, it would not be the worst case scenario. </w:t>
      </w:r>
      <w:r w:rsidR="00606DD2">
        <w:t xml:space="preserve">But, JUUL Lab’s intention was to help adult smokers quit smoking cigarettes through the help of vaping a slick, fruity flavored e-cig. </w:t>
      </w:r>
      <w:r w:rsidR="005D2AAE">
        <w:t xml:space="preserve">JUUL Labs should reach out to The Truth with why JUUL believes in its products and the good of vaping for adult smokers wanting to quit. </w:t>
      </w:r>
    </w:p>
    <w:p w:rsidR="004710A5" w:rsidRDefault="00FE1521" w:rsidP="00811D38">
      <w:r>
        <w:tab/>
      </w:r>
    </w:p>
    <w:p w:rsidR="00FE1521" w:rsidRDefault="00FE1521" w:rsidP="00811D38">
      <w:r>
        <w:t>I was able to get 13 respondents over the JUUL Questionnaire</w:t>
      </w:r>
      <w:r w:rsidR="00C27753">
        <w:t xml:space="preserve">, which gave me insights that the issue of “nonsmoking adults are 4x liker to start smoking cigarettes after 18 months of vaping” </w:t>
      </w:r>
      <w:r w:rsidR="00C27753">
        <w:lastRenderedPageBreak/>
        <w:t xml:space="preserve">was not as important to survey respondents compared to JUUL’s other issues. </w:t>
      </w:r>
      <w:r w:rsidR="00E21F40">
        <w:t xml:space="preserve">Breaking up JUUL’s issues and evaluating the publics </w:t>
      </w:r>
      <w:r w:rsidR="007A1C60">
        <w:t>based on the issue is the most efficient way t</w:t>
      </w:r>
      <w:r w:rsidR="004710A5">
        <w:t xml:space="preserve">o understand public perception based on these issues: </w:t>
      </w:r>
    </w:p>
    <w:p w:rsidR="007A1C60" w:rsidRDefault="007A1C60" w:rsidP="007A1C60">
      <w:pPr>
        <w:pStyle w:val="ListParagraph"/>
        <w:numPr>
          <w:ilvl w:val="0"/>
          <w:numId w:val="5"/>
        </w:numPr>
      </w:pPr>
      <w:r>
        <w:t>75% increase of teen vaping due to JUULs</w:t>
      </w:r>
    </w:p>
    <w:p w:rsidR="007A1C60" w:rsidRDefault="007A1C60" w:rsidP="007A1C60">
      <w:pPr>
        <w:pStyle w:val="ListParagraph"/>
        <w:numPr>
          <w:ilvl w:val="0"/>
          <w:numId w:val="5"/>
        </w:numPr>
      </w:pPr>
      <w:r>
        <w:t>Easy access to fruity JUUL Pods</w:t>
      </w:r>
    </w:p>
    <w:p w:rsidR="007A1C60" w:rsidRDefault="007A1C60" w:rsidP="007A1C60">
      <w:pPr>
        <w:pStyle w:val="ListParagraph"/>
        <w:numPr>
          <w:ilvl w:val="0"/>
          <w:numId w:val="5"/>
        </w:numPr>
      </w:pPr>
      <w:r>
        <w:t>JUUL’s ‘unintended’ push toward nicotine addiction and averse health risks for emotional and physical development</w:t>
      </w:r>
    </w:p>
    <w:p w:rsidR="004710A5" w:rsidRDefault="004710A5" w:rsidP="007A1C60"/>
    <w:p w:rsidR="00553D84" w:rsidRDefault="007F1C34" w:rsidP="007A1C60">
      <w:bookmarkStart w:id="0" w:name="_GoBack"/>
      <w:bookmarkEnd w:id="0"/>
      <w:r>
        <w:t xml:space="preserve">After </w:t>
      </w:r>
      <w:r w:rsidR="00553D84">
        <w:t>recording all responses, JUUL’s publics are best deconstructed as such:</w:t>
      </w:r>
    </w:p>
    <w:tbl>
      <w:tblPr>
        <w:tblStyle w:val="TableGrid"/>
        <w:tblW w:w="0" w:type="auto"/>
        <w:tblLook w:val="04A0" w:firstRow="1" w:lastRow="0" w:firstColumn="1" w:lastColumn="0" w:noHBand="0" w:noVBand="1"/>
      </w:tblPr>
      <w:tblGrid>
        <w:gridCol w:w="1010"/>
        <w:gridCol w:w="1630"/>
        <w:gridCol w:w="1118"/>
        <w:gridCol w:w="2087"/>
        <w:gridCol w:w="2520"/>
      </w:tblGrid>
      <w:tr w:rsidR="00553D84" w:rsidTr="00553D84">
        <w:trPr>
          <w:trHeight w:val="656"/>
        </w:trPr>
        <w:tc>
          <w:tcPr>
            <w:tcW w:w="1010" w:type="dxa"/>
          </w:tcPr>
          <w:p w:rsidR="00553D84" w:rsidRDefault="00553D84" w:rsidP="007A1C60">
            <w:r>
              <w:t>Issue 1</w:t>
            </w:r>
            <w:r w:rsidR="00BF691C">
              <w:t>:</w:t>
            </w:r>
          </w:p>
        </w:tc>
        <w:tc>
          <w:tcPr>
            <w:tcW w:w="1630" w:type="dxa"/>
          </w:tcPr>
          <w:p w:rsidR="00553D84" w:rsidRDefault="00553D84" w:rsidP="007A1C60">
            <w:r>
              <w:t>2 Non publics</w:t>
            </w:r>
          </w:p>
        </w:tc>
        <w:tc>
          <w:tcPr>
            <w:tcW w:w="1118" w:type="dxa"/>
          </w:tcPr>
          <w:p w:rsidR="00553D84" w:rsidRDefault="00553D84" w:rsidP="007A1C60">
            <w:r>
              <w:t>4 Latent</w:t>
            </w:r>
          </w:p>
        </w:tc>
        <w:tc>
          <w:tcPr>
            <w:tcW w:w="2087" w:type="dxa"/>
          </w:tcPr>
          <w:p w:rsidR="00553D84" w:rsidRDefault="00553D84" w:rsidP="007A1C60">
            <w:r>
              <w:t>4 Active/Aware</w:t>
            </w:r>
          </w:p>
        </w:tc>
        <w:tc>
          <w:tcPr>
            <w:tcW w:w="2520" w:type="dxa"/>
          </w:tcPr>
          <w:p w:rsidR="00553D84" w:rsidRDefault="00553D84" w:rsidP="007A1C60">
            <w:r>
              <w:t>1 Activist/Active</w:t>
            </w:r>
          </w:p>
        </w:tc>
      </w:tr>
      <w:tr w:rsidR="00553D84" w:rsidTr="00553D84">
        <w:trPr>
          <w:trHeight w:val="530"/>
        </w:trPr>
        <w:tc>
          <w:tcPr>
            <w:tcW w:w="1010" w:type="dxa"/>
          </w:tcPr>
          <w:p w:rsidR="00553D84" w:rsidRDefault="00553D84" w:rsidP="007A1C60">
            <w:r>
              <w:t>Issue 2</w:t>
            </w:r>
            <w:r w:rsidR="00BF691C">
              <w:t>:</w:t>
            </w:r>
          </w:p>
        </w:tc>
        <w:tc>
          <w:tcPr>
            <w:tcW w:w="1630" w:type="dxa"/>
          </w:tcPr>
          <w:p w:rsidR="00553D84" w:rsidRDefault="00553D84" w:rsidP="007A1C60">
            <w:r>
              <w:t>3 Non publics</w:t>
            </w:r>
          </w:p>
        </w:tc>
        <w:tc>
          <w:tcPr>
            <w:tcW w:w="1118" w:type="dxa"/>
          </w:tcPr>
          <w:p w:rsidR="00553D84" w:rsidRDefault="00553D84" w:rsidP="007A1C60">
            <w:r>
              <w:t>4 Latent</w:t>
            </w:r>
          </w:p>
        </w:tc>
        <w:tc>
          <w:tcPr>
            <w:tcW w:w="2087" w:type="dxa"/>
          </w:tcPr>
          <w:p w:rsidR="00553D84" w:rsidRDefault="00553D84" w:rsidP="007A1C60">
            <w:r>
              <w:t>3 Active/Aware</w:t>
            </w:r>
          </w:p>
        </w:tc>
        <w:tc>
          <w:tcPr>
            <w:tcW w:w="2520" w:type="dxa"/>
          </w:tcPr>
          <w:p w:rsidR="00553D84" w:rsidRDefault="00553D84" w:rsidP="007A1C60">
            <w:r>
              <w:t>1 Activist/Active</w:t>
            </w:r>
          </w:p>
        </w:tc>
      </w:tr>
      <w:tr w:rsidR="00553D84" w:rsidTr="00553D84">
        <w:trPr>
          <w:trHeight w:val="611"/>
        </w:trPr>
        <w:tc>
          <w:tcPr>
            <w:tcW w:w="1010" w:type="dxa"/>
          </w:tcPr>
          <w:p w:rsidR="00553D84" w:rsidRDefault="00553D84" w:rsidP="007A1C60">
            <w:r>
              <w:t>Issue 3</w:t>
            </w:r>
            <w:r w:rsidR="00BF691C">
              <w:t>:</w:t>
            </w:r>
          </w:p>
        </w:tc>
        <w:tc>
          <w:tcPr>
            <w:tcW w:w="1630" w:type="dxa"/>
          </w:tcPr>
          <w:p w:rsidR="00553D84" w:rsidRDefault="00553D84" w:rsidP="007A1C60">
            <w:r>
              <w:t>1 Non public</w:t>
            </w:r>
          </w:p>
        </w:tc>
        <w:tc>
          <w:tcPr>
            <w:tcW w:w="1118" w:type="dxa"/>
          </w:tcPr>
          <w:p w:rsidR="00553D84" w:rsidRDefault="00553D84" w:rsidP="007A1C60">
            <w:r>
              <w:t>4 Latent</w:t>
            </w:r>
          </w:p>
        </w:tc>
        <w:tc>
          <w:tcPr>
            <w:tcW w:w="2087" w:type="dxa"/>
          </w:tcPr>
          <w:p w:rsidR="00553D84" w:rsidRDefault="00553D84" w:rsidP="007A1C60">
            <w:r>
              <w:t>5 Active/Aware</w:t>
            </w:r>
          </w:p>
        </w:tc>
        <w:tc>
          <w:tcPr>
            <w:tcW w:w="2520" w:type="dxa"/>
          </w:tcPr>
          <w:p w:rsidR="00553D84" w:rsidRDefault="00553D84" w:rsidP="007A1C60">
            <w:r>
              <w:t>1 Activist/Active</w:t>
            </w:r>
          </w:p>
        </w:tc>
      </w:tr>
    </w:tbl>
    <w:p w:rsidR="00553D84" w:rsidRDefault="00553D84" w:rsidP="007A1C60"/>
    <w:p w:rsidR="00553D84" w:rsidRPr="00AC5E26" w:rsidRDefault="006B0D80" w:rsidP="007A1C60">
      <w:r>
        <w:t xml:space="preserve">As the data displays, JUUL’s main issue falls under the unintended push towards the nicotine addiction by the sleek design of the device that hurts development, then following the 75% increase of teen vaping because of JUUL devices. </w:t>
      </w:r>
    </w:p>
    <w:sectPr w:rsidR="00553D84" w:rsidRPr="00AC5E26" w:rsidSect="007C5A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A45" w:rsidRDefault="00934A45" w:rsidP="00C27050">
      <w:r>
        <w:separator/>
      </w:r>
    </w:p>
  </w:endnote>
  <w:endnote w:type="continuationSeparator" w:id="0">
    <w:p w:rsidR="00934A45" w:rsidRDefault="00934A45" w:rsidP="00C2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A45" w:rsidRDefault="00934A45" w:rsidP="00C27050">
      <w:r>
        <w:separator/>
      </w:r>
    </w:p>
  </w:footnote>
  <w:footnote w:type="continuationSeparator" w:id="0">
    <w:p w:rsidR="00934A45" w:rsidRDefault="00934A45" w:rsidP="00C27050">
      <w:r>
        <w:continuationSeparator/>
      </w:r>
    </w:p>
  </w:footnote>
  <w:footnote w:id="1">
    <w:p w:rsidR="002E7E5F" w:rsidRDefault="002E7E5F">
      <w:pPr>
        <w:pStyle w:val="FootnoteText"/>
      </w:pPr>
      <w:r>
        <w:rPr>
          <w:rStyle w:val="FootnoteReference"/>
        </w:rPr>
        <w:footnoteRef/>
      </w:r>
      <w:r>
        <w:t xml:space="preserve"> </w:t>
      </w:r>
      <w:r>
        <w:t>Keller and Heckman LLP</w:t>
      </w:r>
      <w:r>
        <w:t xml:space="preserve">. “The Continuum of Risk.” (2019). </w:t>
      </w:r>
    </w:p>
  </w:footnote>
  <w:footnote w:id="2">
    <w:p w:rsidR="002E7E5F" w:rsidRPr="002E7E5F" w:rsidRDefault="002E7E5F">
      <w:pPr>
        <w:pStyle w:val="FootnoteText"/>
      </w:pPr>
      <w:r>
        <w:rPr>
          <w:rStyle w:val="FootnoteReference"/>
        </w:rPr>
        <w:footnoteRef/>
      </w:r>
      <w:r>
        <w:t xml:space="preserve"> “</w:t>
      </w:r>
      <w:proofErr w:type="spellStart"/>
      <w:r>
        <w:t>Juul</w:t>
      </w:r>
      <w:proofErr w:type="spellEnd"/>
      <w:r>
        <w:t xml:space="preserve">, The E-Cigarette Brand, Is Shutting It’s Facebook and Instagram Accounts.” </w:t>
      </w:r>
      <w:r>
        <w:rPr>
          <w:i/>
        </w:rPr>
        <w:t xml:space="preserve">Ad Age, </w:t>
      </w:r>
      <w:r>
        <w:t xml:space="preserve">13, Nov. 2018, </w:t>
      </w:r>
      <w:r>
        <w:rPr>
          <w:i/>
        </w:rPr>
        <w:t xml:space="preserve">Bloomberg News. </w:t>
      </w:r>
    </w:p>
  </w:footnote>
  <w:footnote w:id="3">
    <w:p w:rsidR="0021682D" w:rsidRPr="0021682D" w:rsidRDefault="0021682D">
      <w:pPr>
        <w:pStyle w:val="FootnoteText"/>
        <w:rPr>
          <w:i/>
        </w:rPr>
      </w:pPr>
      <w:r>
        <w:rPr>
          <w:rStyle w:val="FootnoteReference"/>
        </w:rPr>
        <w:footnoteRef/>
      </w:r>
      <w:r>
        <w:t xml:space="preserve"> </w:t>
      </w:r>
      <w:r>
        <w:rPr>
          <w:i/>
        </w:rPr>
        <w:t>Ibid.</w:t>
      </w:r>
    </w:p>
  </w:footnote>
  <w:footnote w:id="4">
    <w:p w:rsidR="0021682D" w:rsidRPr="0021682D" w:rsidRDefault="0021682D">
      <w:pPr>
        <w:pStyle w:val="FootnoteText"/>
      </w:pPr>
      <w:r>
        <w:rPr>
          <w:rStyle w:val="FootnoteReference"/>
        </w:rPr>
        <w:footnoteRef/>
      </w:r>
      <w:r>
        <w:t xml:space="preserve"> Hanbury, Mary. “</w:t>
      </w:r>
      <w:r w:rsidRPr="0021682D">
        <w:t xml:space="preserve">Flavored </w:t>
      </w:r>
      <w:proofErr w:type="spellStart"/>
      <w:r w:rsidRPr="0021682D">
        <w:t>Juul</w:t>
      </w:r>
      <w:proofErr w:type="spellEnd"/>
      <w:r w:rsidRPr="0021682D">
        <w:t xml:space="preserve"> pods will no longer be sold in retail stores — but here's where you can still buy them</w:t>
      </w:r>
      <w:r>
        <w:t xml:space="preserve">.” </w:t>
      </w:r>
      <w:r>
        <w:rPr>
          <w:i/>
        </w:rPr>
        <w:t xml:space="preserve">Business Insider, </w:t>
      </w:r>
      <w:r>
        <w:t xml:space="preserve">2018. </w:t>
      </w:r>
    </w:p>
  </w:footnote>
  <w:footnote w:id="5">
    <w:p w:rsidR="00515809" w:rsidRDefault="00515809">
      <w:pPr>
        <w:pStyle w:val="FootnoteText"/>
      </w:pPr>
      <w:r>
        <w:rPr>
          <w:rStyle w:val="FootnoteReference"/>
        </w:rPr>
        <w:footnoteRef/>
      </w:r>
      <w:r>
        <w:t xml:space="preserve"> JUUL Labs. “JUUL FAQ.” 2019. </w:t>
      </w:r>
    </w:p>
  </w:footnote>
  <w:footnote w:id="6">
    <w:p w:rsidR="00B63DA4" w:rsidRDefault="00B63DA4">
      <w:pPr>
        <w:pStyle w:val="FootnoteText"/>
      </w:pPr>
      <w:r>
        <w:rPr>
          <w:rStyle w:val="FootnoteReference"/>
        </w:rPr>
        <w:footnoteRef/>
      </w:r>
      <w:r>
        <w:t xml:space="preserve"> </w:t>
      </w:r>
      <w:r>
        <w:t>“</w:t>
      </w:r>
      <w:proofErr w:type="spellStart"/>
      <w:r>
        <w:t>Juul</w:t>
      </w:r>
      <w:proofErr w:type="spellEnd"/>
      <w:r>
        <w:t xml:space="preserve">, The E-Cigarette Brand, Is Shutting It’s Facebook and Instagram Accounts.” </w:t>
      </w:r>
      <w:r>
        <w:rPr>
          <w:i/>
        </w:rPr>
        <w:t xml:space="preserve">Ad Age, </w:t>
      </w:r>
      <w:r>
        <w:t xml:space="preserve">13, Nov. 2018, </w:t>
      </w:r>
      <w:r>
        <w:rPr>
          <w:i/>
        </w:rPr>
        <w:t>Bloomberg News.</w:t>
      </w:r>
    </w:p>
  </w:footnote>
  <w:footnote w:id="7">
    <w:p w:rsidR="00B63DA4" w:rsidRDefault="00B63DA4">
      <w:pPr>
        <w:pStyle w:val="FootnoteText"/>
      </w:pPr>
      <w:r>
        <w:rPr>
          <w:rStyle w:val="FootnoteReference"/>
        </w:rPr>
        <w:footnoteRef/>
      </w:r>
      <w:r>
        <w:t xml:space="preserve"> </w:t>
      </w:r>
      <w:r w:rsidRPr="000D7CC8">
        <w:rPr>
          <w:i/>
        </w:rPr>
        <w:t>Ibid.</w:t>
      </w:r>
    </w:p>
  </w:footnote>
  <w:footnote w:id="8">
    <w:p w:rsidR="00B63DA4" w:rsidRDefault="00B63DA4">
      <w:pPr>
        <w:pStyle w:val="FootnoteText"/>
      </w:pPr>
      <w:r>
        <w:rPr>
          <w:rStyle w:val="FootnoteReference"/>
        </w:rPr>
        <w:footnoteRef/>
      </w:r>
      <w:r>
        <w:t xml:space="preserve"> </w:t>
      </w:r>
      <w:r w:rsidRPr="000D7CC8">
        <w:rPr>
          <w:i/>
        </w:rPr>
        <w:t>Ibid.</w:t>
      </w:r>
    </w:p>
  </w:footnote>
  <w:footnote w:id="9">
    <w:p w:rsidR="00B63DA4" w:rsidRPr="00B63DA4" w:rsidRDefault="00B63DA4">
      <w:pPr>
        <w:pStyle w:val="FootnoteText"/>
      </w:pPr>
      <w:r>
        <w:rPr>
          <w:rStyle w:val="FootnoteReference"/>
        </w:rPr>
        <w:footnoteRef/>
      </w:r>
      <w:r>
        <w:t xml:space="preserve"> Zaleski, Olivia. “Tiger Global is Said to Get $1.6 Billion From Altria’s JUUL Deal.” </w:t>
      </w:r>
      <w:r>
        <w:rPr>
          <w:i/>
        </w:rPr>
        <w:t>Bloomberg</w:t>
      </w:r>
      <w:r>
        <w:t xml:space="preserve">, 2018. </w:t>
      </w:r>
    </w:p>
  </w:footnote>
  <w:footnote w:id="10">
    <w:p w:rsidR="00B63DA4" w:rsidRDefault="00B63DA4">
      <w:pPr>
        <w:pStyle w:val="FootnoteText"/>
      </w:pPr>
      <w:r>
        <w:rPr>
          <w:rStyle w:val="FootnoteReference"/>
        </w:rPr>
        <w:footnoteRef/>
      </w:r>
      <w:r>
        <w:t xml:space="preserve"> </w:t>
      </w:r>
      <w:r w:rsidRPr="000D7CC8">
        <w:rPr>
          <w:i/>
        </w:rPr>
        <w:t>Ibid.</w:t>
      </w:r>
    </w:p>
  </w:footnote>
  <w:footnote w:id="11">
    <w:p w:rsidR="005C141D" w:rsidRDefault="005C141D">
      <w:pPr>
        <w:pStyle w:val="FootnoteText"/>
      </w:pPr>
      <w:r>
        <w:rPr>
          <w:rStyle w:val="FootnoteReference"/>
        </w:rPr>
        <w:footnoteRef/>
      </w:r>
      <w:r w:rsidR="00765462">
        <w:t xml:space="preserve"> Dozier, </w:t>
      </w:r>
      <w:proofErr w:type="spellStart"/>
      <w:r w:rsidR="00765462">
        <w:t>Grunig</w:t>
      </w:r>
      <w:proofErr w:type="spellEnd"/>
      <w:r w:rsidR="00765462">
        <w:t xml:space="preserve">, et. al. “Manager’s Guide to Excellence in Public Relations and Communication </w:t>
      </w:r>
      <w:r w:rsidR="00D0363E">
        <w:t>Management</w:t>
      </w:r>
      <w:r w:rsidR="00765462">
        <w:t xml:space="preserve">.” </w:t>
      </w:r>
      <w:r w:rsidR="00B03286">
        <w:t xml:space="preserve">1991. </w:t>
      </w:r>
    </w:p>
  </w:footnote>
  <w:footnote w:id="12">
    <w:p w:rsidR="005C141D" w:rsidRDefault="005C141D">
      <w:pPr>
        <w:pStyle w:val="FootnoteText"/>
      </w:pPr>
      <w:r>
        <w:rPr>
          <w:rStyle w:val="FootnoteReference"/>
        </w:rPr>
        <w:footnoteRef/>
      </w:r>
      <w:r>
        <w:t xml:space="preserve"> </w:t>
      </w:r>
      <w:r w:rsidR="00765462">
        <w:t>“</w:t>
      </w:r>
      <w:proofErr w:type="spellStart"/>
      <w:r w:rsidR="00765462">
        <w:t>Juul</w:t>
      </w:r>
      <w:proofErr w:type="spellEnd"/>
      <w:r w:rsidR="00765462">
        <w:t xml:space="preserve">, The E-Cigarette Brand, Is Shutting It’s Facebook and Instagram Accounts.” </w:t>
      </w:r>
      <w:r w:rsidR="00765462">
        <w:rPr>
          <w:i/>
        </w:rPr>
        <w:t xml:space="preserve">Ad Age, </w:t>
      </w:r>
      <w:r w:rsidR="00765462">
        <w:t xml:space="preserve">13, Nov. 2018, </w:t>
      </w:r>
      <w:r w:rsidR="00765462">
        <w:rPr>
          <w:i/>
        </w:rPr>
        <w:t>Bloomberg News.</w:t>
      </w:r>
    </w:p>
  </w:footnote>
  <w:footnote w:id="13">
    <w:p w:rsidR="005C141D" w:rsidRPr="000D7CC8" w:rsidRDefault="005C141D">
      <w:pPr>
        <w:pStyle w:val="FootnoteText"/>
      </w:pPr>
      <w:r w:rsidRPr="000D7CC8">
        <w:rPr>
          <w:rStyle w:val="FootnoteReference"/>
        </w:rPr>
        <w:footnoteRef/>
      </w:r>
      <w:r w:rsidRPr="000D7CC8">
        <w:t xml:space="preserve"> </w:t>
      </w:r>
      <w:r w:rsidR="00D0363E" w:rsidRPr="000D7CC8">
        <w:t xml:space="preserve">Dozier, </w:t>
      </w:r>
      <w:proofErr w:type="spellStart"/>
      <w:r w:rsidR="00D0363E" w:rsidRPr="000D7CC8">
        <w:t>Grunig</w:t>
      </w:r>
      <w:proofErr w:type="spellEnd"/>
      <w:r w:rsidR="00D0363E" w:rsidRPr="000D7CC8">
        <w:t>, et. al. “Manager’s Guide to Excellence in Public Relations and Communication Management.” 1991.</w:t>
      </w:r>
    </w:p>
  </w:footnote>
  <w:footnote w:id="14">
    <w:p w:rsidR="005C141D" w:rsidRPr="000D7CC8" w:rsidRDefault="005C141D">
      <w:pPr>
        <w:pStyle w:val="FootnoteText"/>
      </w:pPr>
      <w:r w:rsidRPr="000D7CC8">
        <w:rPr>
          <w:rStyle w:val="FootnoteReference"/>
        </w:rPr>
        <w:footnoteRef/>
      </w:r>
      <w:r w:rsidR="008A74C7" w:rsidRPr="000D7CC8">
        <w:t xml:space="preserve"> </w:t>
      </w:r>
      <w:r w:rsidR="008A74C7" w:rsidRPr="000D7CC8">
        <w:rPr>
          <w:i/>
        </w:rPr>
        <w:t>Ibid.</w:t>
      </w:r>
    </w:p>
  </w:footnote>
  <w:footnote w:id="15">
    <w:p w:rsidR="005C141D" w:rsidRPr="000D7CC8" w:rsidRDefault="005C141D">
      <w:pPr>
        <w:pStyle w:val="FootnoteText"/>
      </w:pPr>
      <w:r w:rsidRPr="000D7CC8">
        <w:rPr>
          <w:rStyle w:val="FootnoteReference"/>
        </w:rPr>
        <w:footnoteRef/>
      </w:r>
      <w:r w:rsidR="008A74C7" w:rsidRPr="000D7CC8">
        <w:t xml:space="preserve"> </w:t>
      </w:r>
      <w:r w:rsidR="008A74C7" w:rsidRPr="000D7CC8">
        <w:rPr>
          <w:i/>
        </w:rPr>
        <w:t>Ibid.</w:t>
      </w:r>
    </w:p>
  </w:footnote>
  <w:footnote w:id="16">
    <w:p w:rsidR="005C141D" w:rsidRPr="000D7CC8" w:rsidRDefault="005C141D">
      <w:pPr>
        <w:pStyle w:val="FootnoteText"/>
      </w:pPr>
      <w:r w:rsidRPr="000D7CC8">
        <w:rPr>
          <w:rStyle w:val="FootnoteReference"/>
        </w:rPr>
        <w:footnoteRef/>
      </w:r>
      <w:r w:rsidRPr="000D7CC8">
        <w:t xml:space="preserve"> </w:t>
      </w:r>
      <w:proofErr w:type="spellStart"/>
      <w:r w:rsidR="008A74C7" w:rsidRPr="000D7CC8">
        <w:t>Juul</w:t>
      </w:r>
      <w:proofErr w:type="spellEnd"/>
      <w:r w:rsidR="008A74C7" w:rsidRPr="000D7CC8">
        <w:t xml:space="preserve">, The E-Cigarette Brand, Is Shutting It’s Facebook and Instagram Accounts.” </w:t>
      </w:r>
      <w:r w:rsidR="008A74C7" w:rsidRPr="000D7CC8">
        <w:rPr>
          <w:i/>
        </w:rPr>
        <w:t xml:space="preserve">Ad Age, </w:t>
      </w:r>
      <w:r w:rsidR="008A74C7" w:rsidRPr="000D7CC8">
        <w:t xml:space="preserve">13, Nov. 2018, </w:t>
      </w:r>
      <w:r w:rsidR="008A74C7" w:rsidRPr="000D7CC8">
        <w:rPr>
          <w:i/>
        </w:rPr>
        <w:t>Bloomberg News.</w:t>
      </w:r>
    </w:p>
  </w:footnote>
  <w:footnote w:id="17">
    <w:p w:rsidR="005C141D" w:rsidRPr="000D7CC8" w:rsidRDefault="005C141D" w:rsidP="00AA72B7">
      <w:pPr>
        <w:rPr>
          <w:i/>
          <w:sz w:val="20"/>
          <w:szCs w:val="20"/>
        </w:rPr>
      </w:pPr>
      <w:r w:rsidRPr="000D7CC8">
        <w:rPr>
          <w:rStyle w:val="FootnoteReference"/>
          <w:sz w:val="20"/>
          <w:szCs w:val="20"/>
        </w:rPr>
        <w:footnoteRef/>
      </w:r>
      <w:r w:rsidR="00D0363E" w:rsidRPr="000D7CC8">
        <w:rPr>
          <w:sz w:val="20"/>
          <w:szCs w:val="20"/>
        </w:rPr>
        <w:t xml:space="preserve"> Fraga, John. “The Dangers of </w:t>
      </w:r>
      <w:proofErr w:type="spellStart"/>
      <w:r w:rsidR="00D0363E" w:rsidRPr="000D7CC8">
        <w:rPr>
          <w:sz w:val="20"/>
          <w:szCs w:val="20"/>
        </w:rPr>
        <w:t>Juuling</w:t>
      </w:r>
      <w:proofErr w:type="spellEnd"/>
      <w:r w:rsidR="00D0363E" w:rsidRPr="000D7CC8">
        <w:rPr>
          <w:sz w:val="20"/>
          <w:szCs w:val="20"/>
        </w:rPr>
        <w:t xml:space="preserve">.” </w:t>
      </w:r>
      <w:r w:rsidR="00D0363E" w:rsidRPr="000D7CC8">
        <w:rPr>
          <w:i/>
          <w:sz w:val="20"/>
          <w:szCs w:val="20"/>
        </w:rPr>
        <w:t>The National Center for Health Research.</w:t>
      </w:r>
    </w:p>
    <w:p w:rsidR="005C141D" w:rsidRDefault="005C141D">
      <w:pPr>
        <w:pStyle w:val="FootnoteText"/>
      </w:pPr>
    </w:p>
  </w:footnote>
  <w:footnote w:id="18">
    <w:p w:rsidR="005C141D" w:rsidRDefault="005C141D">
      <w:pPr>
        <w:pStyle w:val="FootnoteText"/>
      </w:pPr>
      <w:r>
        <w:rPr>
          <w:rStyle w:val="FootnoteReference"/>
        </w:rPr>
        <w:footnoteRef/>
      </w:r>
      <w:r>
        <w:t xml:space="preserve"> </w:t>
      </w:r>
      <w:r w:rsidR="00E474A3">
        <w:t xml:space="preserve">Dozier, </w:t>
      </w:r>
      <w:proofErr w:type="spellStart"/>
      <w:r w:rsidR="00E474A3">
        <w:t>Grunig</w:t>
      </w:r>
      <w:proofErr w:type="spellEnd"/>
      <w:r w:rsidR="00E474A3">
        <w:t>, et. al. “Manager’s Guide to Excellence in Public Relations and Communication Management.” 1991.</w:t>
      </w:r>
    </w:p>
  </w:footnote>
  <w:footnote w:id="19">
    <w:p w:rsidR="001F2B08" w:rsidRPr="00E474A3" w:rsidRDefault="001F2B08" w:rsidP="00B84777">
      <w:pPr>
        <w:rPr>
          <w:sz w:val="20"/>
          <w:szCs w:val="20"/>
        </w:rPr>
      </w:pPr>
      <w:r w:rsidRPr="00E474A3">
        <w:rPr>
          <w:rStyle w:val="FootnoteReference"/>
          <w:sz w:val="20"/>
          <w:szCs w:val="20"/>
        </w:rPr>
        <w:footnoteRef/>
      </w:r>
      <w:r w:rsidRPr="00E474A3">
        <w:rPr>
          <w:sz w:val="20"/>
          <w:szCs w:val="20"/>
        </w:rPr>
        <w:t xml:space="preserve"> </w:t>
      </w:r>
      <w:r w:rsidR="00E474A3" w:rsidRPr="00E474A3">
        <w:rPr>
          <w:sz w:val="20"/>
          <w:szCs w:val="20"/>
        </w:rPr>
        <w:t xml:space="preserve">The Truth. “About Truth” 2019. </w:t>
      </w:r>
    </w:p>
  </w:footnote>
  <w:footnote w:id="20">
    <w:p w:rsidR="00B84777" w:rsidRPr="00E474A3" w:rsidRDefault="00B84777">
      <w:pPr>
        <w:pStyle w:val="FootnoteText"/>
      </w:pPr>
      <w:r w:rsidRPr="00E474A3">
        <w:rPr>
          <w:rStyle w:val="FootnoteReference"/>
        </w:rPr>
        <w:footnoteRef/>
      </w:r>
      <w:r w:rsidRPr="00E474A3">
        <w:t xml:space="preserve"> </w:t>
      </w:r>
      <w:r w:rsidRPr="00E474A3">
        <w:t xml:space="preserve"> </w:t>
      </w:r>
      <w:r w:rsidR="00E474A3" w:rsidRPr="00E474A3">
        <w:rPr>
          <w:i/>
        </w:rPr>
        <w:t>Ibid.</w:t>
      </w:r>
      <w:r w:rsidR="00E474A3" w:rsidRPr="00E474A3">
        <w:t xml:space="preserve"> </w:t>
      </w:r>
    </w:p>
  </w:footnote>
  <w:footnote w:id="21">
    <w:p w:rsidR="00025AF9" w:rsidRPr="00E474A3" w:rsidRDefault="00025AF9" w:rsidP="00025AF9">
      <w:pPr>
        <w:rPr>
          <w:sz w:val="20"/>
          <w:szCs w:val="20"/>
        </w:rPr>
      </w:pPr>
      <w:r w:rsidRPr="00E474A3">
        <w:rPr>
          <w:rStyle w:val="FootnoteReference"/>
          <w:sz w:val="20"/>
          <w:szCs w:val="20"/>
        </w:rPr>
        <w:footnoteRef/>
      </w:r>
      <w:r w:rsidRPr="00E474A3">
        <w:rPr>
          <w:sz w:val="20"/>
          <w:szCs w:val="20"/>
        </w:rPr>
        <w:t xml:space="preserve"> </w:t>
      </w:r>
      <w:r w:rsidR="00E474A3" w:rsidRPr="00E474A3">
        <w:rPr>
          <w:i/>
          <w:sz w:val="20"/>
          <w:szCs w:val="20"/>
        </w:rPr>
        <w:t>Ibid.</w:t>
      </w:r>
      <w:r w:rsidR="00E474A3" w:rsidRPr="00E474A3">
        <w:rPr>
          <w:sz w:val="20"/>
          <w:szCs w:val="20"/>
        </w:rPr>
        <w:t xml:space="preserve"> </w:t>
      </w:r>
    </w:p>
    <w:p w:rsidR="00025AF9" w:rsidRDefault="00025AF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31A4B"/>
    <w:multiLevelType w:val="hybridMultilevel"/>
    <w:tmpl w:val="32100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C5AA2"/>
    <w:multiLevelType w:val="hybridMultilevel"/>
    <w:tmpl w:val="F2007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83B2D"/>
    <w:multiLevelType w:val="hybridMultilevel"/>
    <w:tmpl w:val="13029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E2EA2"/>
    <w:multiLevelType w:val="hybridMultilevel"/>
    <w:tmpl w:val="97A4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16918"/>
    <w:multiLevelType w:val="hybridMultilevel"/>
    <w:tmpl w:val="5F1ACD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A1"/>
    <w:rsid w:val="00003D37"/>
    <w:rsid w:val="000242C0"/>
    <w:rsid w:val="00025AF9"/>
    <w:rsid w:val="000306B2"/>
    <w:rsid w:val="000350DC"/>
    <w:rsid w:val="00082A42"/>
    <w:rsid w:val="000877E1"/>
    <w:rsid w:val="00095BEE"/>
    <w:rsid w:val="000A452A"/>
    <w:rsid w:val="000B15EA"/>
    <w:rsid w:val="000B3046"/>
    <w:rsid w:val="000C7FD8"/>
    <w:rsid w:val="000D500E"/>
    <w:rsid w:val="000D5CF1"/>
    <w:rsid w:val="000D7CC8"/>
    <w:rsid w:val="000E11C5"/>
    <w:rsid w:val="000E1E0F"/>
    <w:rsid w:val="000E42D7"/>
    <w:rsid w:val="00105B8C"/>
    <w:rsid w:val="001B5837"/>
    <w:rsid w:val="001C5CE1"/>
    <w:rsid w:val="001D0A32"/>
    <w:rsid w:val="001E7CD3"/>
    <w:rsid w:val="001F2B08"/>
    <w:rsid w:val="002123DF"/>
    <w:rsid w:val="00216666"/>
    <w:rsid w:val="0021682D"/>
    <w:rsid w:val="00225827"/>
    <w:rsid w:val="00240C68"/>
    <w:rsid w:val="00241E18"/>
    <w:rsid w:val="002716DD"/>
    <w:rsid w:val="0027522D"/>
    <w:rsid w:val="002772CA"/>
    <w:rsid w:val="0029742C"/>
    <w:rsid w:val="002C33DF"/>
    <w:rsid w:val="002D0EE5"/>
    <w:rsid w:val="002E1AB8"/>
    <w:rsid w:val="002E7E5F"/>
    <w:rsid w:val="003032D5"/>
    <w:rsid w:val="003100F4"/>
    <w:rsid w:val="0032052A"/>
    <w:rsid w:val="0032192C"/>
    <w:rsid w:val="00343A96"/>
    <w:rsid w:val="00381B4A"/>
    <w:rsid w:val="0039579F"/>
    <w:rsid w:val="003B4026"/>
    <w:rsid w:val="003B5DFC"/>
    <w:rsid w:val="003F1185"/>
    <w:rsid w:val="00425886"/>
    <w:rsid w:val="00456830"/>
    <w:rsid w:val="004710A5"/>
    <w:rsid w:val="00482659"/>
    <w:rsid w:val="00483A7B"/>
    <w:rsid w:val="00486E04"/>
    <w:rsid w:val="00492A71"/>
    <w:rsid w:val="004B0DEC"/>
    <w:rsid w:val="004C2800"/>
    <w:rsid w:val="004D7A53"/>
    <w:rsid w:val="0050589A"/>
    <w:rsid w:val="00515809"/>
    <w:rsid w:val="00516B03"/>
    <w:rsid w:val="0052778D"/>
    <w:rsid w:val="00531496"/>
    <w:rsid w:val="005359E0"/>
    <w:rsid w:val="00540DE5"/>
    <w:rsid w:val="00553D84"/>
    <w:rsid w:val="005606B1"/>
    <w:rsid w:val="00586440"/>
    <w:rsid w:val="00595741"/>
    <w:rsid w:val="005B3C77"/>
    <w:rsid w:val="005C141D"/>
    <w:rsid w:val="005C37D4"/>
    <w:rsid w:val="005D180A"/>
    <w:rsid w:val="005D2AAE"/>
    <w:rsid w:val="00603BC9"/>
    <w:rsid w:val="00606DD2"/>
    <w:rsid w:val="00634E20"/>
    <w:rsid w:val="006634AB"/>
    <w:rsid w:val="006B0D80"/>
    <w:rsid w:val="006B76C3"/>
    <w:rsid w:val="006F27A1"/>
    <w:rsid w:val="0071236F"/>
    <w:rsid w:val="0073194D"/>
    <w:rsid w:val="00757322"/>
    <w:rsid w:val="00763991"/>
    <w:rsid w:val="00765462"/>
    <w:rsid w:val="007741AA"/>
    <w:rsid w:val="00785E5F"/>
    <w:rsid w:val="007A1C60"/>
    <w:rsid w:val="007B1F32"/>
    <w:rsid w:val="007B44E9"/>
    <w:rsid w:val="007C5AE1"/>
    <w:rsid w:val="007D5EBF"/>
    <w:rsid w:val="007D6EDB"/>
    <w:rsid w:val="007F1C34"/>
    <w:rsid w:val="00804321"/>
    <w:rsid w:val="00811D38"/>
    <w:rsid w:val="00812ABC"/>
    <w:rsid w:val="00824E8E"/>
    <w:rsid w:val="00862955"/>
    <w:rsid w:val="008A74C7"/>
    <w:rsid w:val="008B4839"/>
    <w:rsid w:val="008E2438"/>
    <w:rsid w:val="008F0B20"/>
    <w:rsid w:val="009068DB"/>
    <w:rsid w:val="00920D91"/>
    <w:rsid w:val="009258E5"/>
    <w:rsid w:val="009326C3"/>
    <w:rsid w:val="00934A45"/>
    <w:rsid w:val="009442EF"/>
    <w:rsid w:val="00952BA6"/>
    <w:rsid w:val="0098751A"/>
    <w:rsid w:val="009B6149"/>
    <w:rsid w:val="009D2148"/>
    <w:rsid w:val="009D542A"/>
    <w:rsid w:val="009E0C24"/>
    <w:rsid w:val="009E6733"/>
    <w:rsid w:val="00A07190"/>
    <w:rsid w:val="00A56B1C"/>
    <w:rsid w:val="00A904BF"/>
    <w:rsid w:val="00AA0CC2"/>
    <w:rsid w:val="00AA5CDA"/>
    <w:rsid w:val="00AA72B7"/>
    <w:rsid w:val="00AC4E7C"/>
    <w:rsid w:val="00AC5E26"/>
    <w:rsid w:val="00AF5453"/>
    <w:rsid w:val="00B03286"/>
    <w:rsid w:val="00B0381B"/>
    <w:rsid w:val="00B12464"/>
    <w:rsid w:val="00B17893"/>
    <w:rsid w:val="00B269F3"/>
    <w:rsid w:val="00B31626"/>
    <w:rsid w:val="00B35039"/>
    <w:rsid w:val="00B4187B"/>
    <w:rsid w:val="00B63DA4"/>
    <w:rsid w:val="00B643E9"/>
    <w:rsid w:val="00B66A58"/>
    <w:rsid w:val="00B84777"/>
    <w:rsid w:val="00BA18CB"/>
    <w:rsid w:val="00BB3658"/>
    <w:rsid w:val="00BB701F"/>
    <w:rsid w:val="00BC4D94"/>
    <w:rsid w:val="00BE4036"/>
    <w:rsid w:val="00BF241C"/>
    <w:rsid w:val="00BF691C"/>
    <w:rsid w:val="00C03522"/>
    <w:rsid w:val="00C10324"/>
    <w:rsid w:val="00C27050"/>
    <w:rsid w:val="00C27753"/>
    <w:rsid w:val="00C73160"/>
    <w:rsid w:val="00C746CE"/>
    <w:rsid w:val="00C7662F"/>
    <w:rsid w:val="00C8767D"/>
    <w:rsid w:val="00C9153A"/>
    <w:rsid w:val="00CA5AE3"/>
    <w:rsid w:val="00CD0493"/>
    <w:rsid w:val="00D0363E"/>
    <w:rsid w:val="00D0456A"/>
    <w:rsid w:val="00D25B32"/>
    <w:rsid w:val="00D6344C"/>
    <w:rsid w:val="00D8063B"/>
    <w:rsid w:val="00D8169A"/>
    <w:rsid w:val="00DA1485"/>
    <w:rsid w:val="00DD1058"/>
    <w:rsid w:val="00DD2761"/>
    <w:rsid w:val="00DF7E4E"/>
    <w:rsid w:val="00E12D9E"/>
    <w:rsid w:val="00E21F40"/>
    <w:rsid w:val="00E43573"/>
    <w:rsid w:val="00E474A3"/>
    <w:rsid w:val="00E47EF6"/>
    <w:rsid w:val="00E73940"/>
    <w:rsid w:val="00EC2371"/>
    <w:rsid w:val="00EC6BB7"/>
    <w:rsid w:val="00ED2C13"/>
    <w:rsid w:val="00ED31EA"/>
    <w:rsid w:val="00EF109A"/>
    <w:rsid w:val="00F16285"/>
    <w:rsid w:val="00F308D5"/>
    <w:rsid w:val="00F3735A"/>
    <w:rsid w:val="00F51037"/>
    <w:rsid w:val="00F76147"/>
    <w:rsid w:val="00F9211E"/>
    <w:rsid w:val="00FB3DF5"/>
    <w:rsid w:val="00FB602B"/>
    <w:rsid w:val="00FB6DA5"/>
    <w:rsid w:val="00FE1521"/>
    <w:rsid w:val="00FF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466C"/>
  <w14:defaultImageDpi w14:val="32767"/>
  <w15:chartTrackingRefBased/>
  <w15:docId w15:val="{C5BE5041-4091-A24C-AE2F-49DBC763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24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C77"/>
    <w:pPr>
      <w:ind w:left="720"/>
      <w:contextualSpacing/>
    </w:pPr>
  </w:style>
  <w:style w:type="character" w:styleId="Hyperlink">
    <w:name w:val="Hyperlink"/>
    <w:basedOn w:val="DefaultParagraphFont"/>
    <w:uiPriority w:val="99"/>
    <w:unhideWhenUsed/>
    <w:rsid w:val="00603BC9"/>
    <w:rPr>
      <w:color w:val="0000FF"/>
      <w:u w:val="single"/>
    </w:rPr>
  </w:style>
  <w:style w:type="paragraph" w:styleId="FootnoteText">
    <w:name w:val="footnote text"/>
    <w:basedOn w:val="Normal"/>
    <w:link w:val="FootnoteTextChar"/>
    <w:uiPriority w:val="99"/>
    <w:semiHidden/>
    <w:unhideWhenUsed/>
    <w:rsid w:val="00C27050"/>
    <w:rPr>
      <w:sz w:val="20"/>
      <w:szCs w:val="20"/>
    </w:rPr>
  </w:style>
  <w:style w:type="character" w:customStyle="1" w:styleId="FootnoteTextChar">
    <w:name w:val="Footnote Text Char"/>
    <w:basedOn w:val="DefaultParagraphFont"/>
    <w:link w:val="FootnoteText"/>
    <w:uiPriority w:val="99"/>
    <w:semiHidden/>
    <w:rsid w:val="00C27050"/>
    <w:rPr>
      <w:sz w:val="20"/>
      <w:szCs w:val="20"/>
    </w:rPr>
  </w:style>
  <w:style w:type="character" w:styleId="FootnoteReference">
    <w:name w:val="footnote reference"/>
    <w:basedOn w:val="DefaultParagraphFont"/>
    <w:uiPriority w:val="99"/>
    <w:semiHidden/>
    <w:unhideWhenUsed/>
    <w:rsid w:val="00C27050"/>
    <w:rPr>
      <w:vertAlign w:val="superscript"/>
    </w:rPr>
  </w:style>
  <w:style w:type="character" w:styleId="UnresolvedMention">
    <w:name w:val="Unresolved Mention"/>
    <w:basedOn w:val="DefaultParagraphFont"/>
    <w:uiPriority w:val="99"/>
    <w:rsid w:val="002772CA"/>
    <w:rPr>
      <w:color w:val="808080"/>
      <w:shd w:val="clear" w:color="auto" w:fill="E6E6E6"/>
    </w:rPr>
  </w:style>
  <w:style w:type="table" w:styleId="TableGrid">
    <w:name w:val="Table Grid"/>
    <w:basedOn w:val="TableNormal"/>
    <w:uiPriority w:val="39"/>
    <w:rsid w:val="00E73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24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8762">
      <w:bodyDiv w:val="1"/>
      <w:marLeft w:val="0"/>
      <w:marRight w:val="0"/>
      <w:marTop w:val="0"/>
      <w:marBottom w:val="0"/>
      <w:divBdr>
        <w:top w:val="none" w:sz="0" w:space="0" w:color="auto"/>
        <w:left w:val="none" w:sz="0" w:space="0" w:color="auto"/>
        <w:bottom w:val="none" w:sz="0" w:space="0" w:color="auto"/>
        <w:right w:val="none" w:sz="0" w:space="0" w:color="auto"/>
      </w:divBdr>
      <w:divsChild>
        <w:div w:id="913859333">
          <w:marLeft w:val="0"/>
          <w:marRight w:val="-13770"/>
          <w:marTop w:val="0"/>
          <w:marBottom w:val="0"/>
          <w:divBdr>
            <w:top w:val="none" w:sz="0" w:space="0" w:color="auto"/>
            <w:left w:val="none" w:sz="0" w:space="0" w:color="auto"/>
            <w:bottom w:val="none" w:sz="0" w:space="0" w:color="auto"/>
            <w:right w:val="none" w:sz="0" w:space="0" w:color="auto"/>
          </w:divBdr>
        </w:div>
        <w:div w:id="1440182100">
          <w:marLeft w:val="0"/>
          <w:marRight w:val="-13770"/>
          <w:marTop w:val="0"/>
          <w:marBottom w:val="0"/>
          <w:divBdr>
            <w:top w:val="none" w:sz="0" w:space="0" w:color="auto"/>
            <w:left w:val="none" w:sz="0" w:space="0" w:color="auto"/>
            <w:bottom w:val="none" w:sz="0" w:space="0" w:color="auto"/>
            <w:right w:val="none" w:sz="0" w:space="0" w:color="auto"/>
          </w:divBdr>
        </w:div>
        <w:div w:id="632249712">
          <w:marLeft w:val="0"/>
          <w:marRight w:val="-13770"/>
          <w:marTop w:val="0"/>
          <w:marBottom w:val="0"/>
          <w:divBdr>
            <w:top w:val="none" w:sz="0" w:space="0" w:color="auto"/>
            <w:left w:val="none" w:sz="0" w:space="0" w:color="auto"/>
            <w:bottom w:val="none" w:sz="0" w:space="0" w:color="auto"/>
            <w:right w:val="none" w:sz="0" w:space="0" w:color="auto"/>
          </w:divBdr>
        </w:div>
        <w:div w:id="1106736371">
          <w:marLeft w:val="0"/>
          <w:marRight w:val="-13770"/>
          <w:marTop w:val="0"/>
          <w:marBottom w:val="0"/>
          <w:divBdr>
            <w:top w:val="none" w:sz="0" w:space="0" w:color="auto"/>
            <w:left w:val="none" w:sz="0" w:space="0" w:color="auto"/>
            <w:bottom w:val="none" w:sz="0" w:space="0" w:color="auto"/>
            <w:right w:val="none" w:sz="0" w:space="0" w:color="auto"/>
          </w:divBdr>
        </w:div>
        <w:div w:id="762412888">
          <w:marLeft w:val="0"/>
          <w:marRight w:val="-13770"/>
          <w:marTop w:val="0"/>
          <w:marBottom w:val="0"/>
          <w:divBdr>
            <w:top w:val="none" w:sz="0" w:space="0" w:color="auto"/>
            <w:left w:val="none" w:sz="0" w:space="0" w:color="auto"/>
            <w:bottom w:val="none" w:sz="0" w:space="0" w:color="auto"/>
            <w:right w:val="none" w:sz="0" w:space="0" w:color="auto"/>
          </w:divBdr>
        </w:div>
        <w:div w:id="177233929">
          <w:marLeft w:val="0"/>
          <w:marRight w:val="-13770"/>
          <w:marTop w:val="0"/>
          <w:marBottom w:val="0"/>
          <w:divBdr>
            <w:top w:val="none" w:sz="0" w:space="0" w:color="auto"/>
            <w:left w:val="none" w:sz="0" w:space="0" w:color="auto"/>
            <w:bottom w:val="none" w:sz="0" w:space="0" w:color="auto"/>
            <w:right w:val="none" w:sz="0" w:space="0" w:color="auto"/>
          </w:divBdr>
        </w:div>
        <w:div w:id="1884781451">
          <w:marLeft w:val="0"/>
          <w:marRight w:val="-13770"/>
          <w:marTop w:val="0"/>
          <w:marBottom w:val="0"/>
          <w:divBdr>
            <w:top w:val="none" w:sz="0" w:space="0" w:color="auto"/>
            <w:left w:val="none" w:sz="0" w:space="0" w:color="auto"/>
            <w:bottom w:val="none" w:sz="0" w:space="0" w:color="auto"/>
            <w:right w:val="none" w:sz="0" w:space="0" w:color="auto"/>
          </w:divBdr>
        </w:div>
        <w:div w:id="785272941">
          <w:marLeft w:val="0"/>
          <w:marRight w:val="-13770"/>
          <w:marTop w:val="0"/>
          <w:marBottom w:val="0"/>
          <w:divBdr>
            <w:top w:val="none" w:sz="0" w:space="0" w:color="auto"/>
            <w:left w:val="none" w:sz="0" w:space="0" w:color="auto"/>
            <w:bottom w:val="none" w:sz="0" w:space="0" w:color="auto"/>
            <w:right w:val="none" w:sz="0" w:space="0" w:color="auto"/>
          </w:divBdr>
        </w:div>
      </w:divsChild>
    </w:div>
    <w:div w:id="316038725">
      <w:bodyDiv w:val="1"/>
      <w:marLeft w:val="0"/>
      <w:marRight w:val="0"/>
      <w:marTop w:val="0"/>
      <w:marBottom w:val="0"/>
      <w:divBdr>
        <w:top w:val="none" w:sz="0" w:space="0" w:color="auto"/>
        <w:left w:val="none" w:sz="0" w:space="0" w:color="auto"/>
        <w:bottom w:val="none" w:sz="0" w:space="0" w:color="auto"/>
        <w:right w:val="none" w:sz="0" w:space="0" w:color="auto"/>
      </w:divBdr>
    </w:div>
    <w:div w:id="531965582">
      <w:bodyDiv w:val="1"/>
      <w:marLeft w:val="0"/>
      <w:marRight w:val="0"/>
      <w:marTop w:val="0"/>
      <w:marBottom w:val="0"/>
      <w:divBdr>
        <w:top w:val="none" w:sz="0" w:space="0" w:color="auto"/>
        <w:left w:val="none" w:sz="0" w:space="0" w:color="auto"/>
        <w:bottom w:val="none" w:sz="0" w:space="0" w:color="auto"/>
        <w:right w:val="none" w:sz="0" w:space="0" w:color="auto"/>
      </w:divBdr>
      <w:divsChild>
        <w:div w:id="219171644">
          <w:marLeft w:val="0"/>
          <w:marRight w:val="-13770"/>
          <w:marTop w:val="0"/>
          <w:marBottom w:val="0"/>
          <w:divBdr>
            <w:top w:val="none" w:sz="0" w:space="0" w:color="auto"/>
            <w:left w:val="none" w:sz="0" w:space="0" w:color="auto"/>
            <w:bottom w:val="none" w:sz="0" w:space="0" w:color="auto"/>
            <w:right w:val="none" w:sz="0" w:space="0" w:color="auto"/>
          </w:divBdr>
        </w:div>
        <w:div w:id="1223566212">
          <w:marLeft w:val="0"/>
          <w:marRight w:val="-13770"/>
          <w:marTop w:val="0"/>
          <w:marBottom w:val="0"/>
          <w:divBdr>
            <w:top w:val="none" w:sz="0" w:space="0" w:color="auto"/>
            <w:left w:val="none" w:sz="0" w:space="0" w:color="auto"/>
            <w:bottom w:val="none" w:sz="0" w:space="0" w:color="auto"/>
            <w:right w:val="none" w:sz="0" w:space="0" w:color="auto"/>
          </w:divBdr>
        </w:div>
        <w:div w:id="120467247">
          <w:marLeft w:val="0"/>
          <w:marRight w:val="-13770"/>
          <w:marTop w:val="0"/>
          <w:marBottom w:val="0"/>
          <w:divBdr>
            <w:top w:val="none" w:sz="0" w:space="0" w:color="auto"/>
            <w:left w:val="none" w:sz="0" w:space="0" w:color="auto"/>
            <w:bottom w:val="none" w:sz="0" w:space="0" w:color="auto"/>
            <w:right w:val="none" w:sz="0" w:space="0" w:color="auto"/>
          </w:divBdr>
        </w:div>
        <w:div w:id="987779275">
          <w:marLeft w:val="0"/>
          <w:marRight w:val="-13770"/>
          <w:marTop w:val="0"/>
          <w:marBottom w:val="0"/>
          <w:divBdr>
            <w:top w:val="none" w:sz="0" w:space="0" w:color="auto"/>
            <w:left w:val="none" w:sz="0" w:space="0" w:color="auto"/>
            <w:bottom w:val="none" w:sz="0" w:space="0" w:color="auto"/>
            <w:right w:val="none" w:sz="0" w:space="0" w:color="auto"/>
          </w:divBdr>
        </w:div>
        <w:div w:id="247732394">
          <w:marLeft w:val="0"/>
          <w:marRight w:val="-13770"/>
          <w:marTop w:val="0"/>
          <w:marBottom w:val="0"/>
          <w:divBdr>
            <w:top w:val="none" w:sz="0" w:space="0" w:color="auto"/>
            <w:left w:val="none" w:sz="0" w:space="0" w:color="auto"/>
            <w:bottom w:val="none" w:sz="0" w:space="0" w:color="auto"/>
            <w:right w:val="none" w:sz="0" w:space="0" w:color="auto"/>
          </w:divBdr>
        </w:div>
        <w:div w:id="1211921822">
          <w:marLeft w:val="0"/>
          <w:marRight w:val="-13770"/>
          <w:marTop w:val="0"/>
          <w:marBottom w:val="0"/>
          <w:divBdr>
            <w:top w:val="none" w:sz="0" w:space="0" w:color="auto"/>
            <w:left w:val="none" w:sz="0" w:space="0" w:color="auto"/>
            <w:bottom w:val="none" w:sz="0" w:space="0" w:color="auto"/>
            <w:right w:val="none" w:sz="0" w:space="0" w:color="auto"/>
          </w:divBdr>
        </w:div>
        <w:div w:id="1315377694">
          <w:marLeft w:val="0"/>
          <w:marRight w:val="-13770"/>
          <w:marTop w:val="0"/>
          <w:marBottom w:val="0"/>
          <w:divBdr>
            <w:top w:val="none" w:sz="0" w:space="0" w:color="auto"/>
            <w:left w:val="none" w:sz="0" w:space="0" w:color="auto"/>
            <w:bottom w:val="none" w:sz="0" w:space="0" w:color="auto"/>
            <w:right w:val="none" w:sz="0" w:space="0" w:color="auto"/>
          </w:divBdr>
        </w:div>
        <w:div w:id="163860027">
          <w:marLeft w:val="0"/>
          <w:marRight w:val="-13770"/>
          <w:marTop w:val="0"/>
          <w:marBottom w:val="0"/>
          <w:divBdr>
            <w:top w:val="none" w:sz="0" w:space="0" w:color="auto"/>
            <w:left w:val="none" w:sz="0" w:space="0" w:color="auto"/>
            <w:bottom w:val="none" w:sz="0" w:space="0" w:color="auto"/>
            <w:right w:val="none" w:sz="0" w:space="0" w:color="auto"/>
          </w:divBdr>
        </w:div>
        <w:div w:id="1158573428">
          <w:marLeft w:val="0"/>
          <w:marRight w:val="-13770"/>
          <w:marTop w:val="0"/>
          <w:marBottom w:val="0"/>
          <w:divBdr>
            <w:top w:val="none" w:sz="0" w:space="0" w:color="auto"/>
            <w:left w:val="none" w:sz="0" w:space="0" w:color="auto"/>
            <w:bottom w:val="none" w:sz="0" w:space="0" w:color="auto"/>
            <w:right w:val="none" w:sz="0" w:space="0" w:color="auto"/>
          </w:divBdr>
        </w:div>
        <w:div w:id="757023456">
          <w:marLeft w:val="0"/>
          <w:marRight w:val="-13770"/>
          <w:marTop w:val="0"/>
          <w:marBottom w:val="0"/>
          <w:divBdr>
            <w:top w:val="none" w:sz="0" w:space="0" w:color="auto"/>
            <w:left w:val="none" w:sz="0" w:space="0" w:color="auto"/>
            <w:bottom w:val="none" w:sz="0" w:space="0" w:color="auto"/>
            <w:right w:val="none" w:sz="0" w:space="0" w:color="auto"/>
          </w:divBdr>
        </w:div>
        <w:div w:id="822308889">
          <w:marLeft w:val="0"/>
          <w:marRight w:val="-13770"/>
          <w:marTop w:val="0"/>
          <w:marBottom w:val="0"/>
          <w:divBdr>
            <w:top w:val="none" w:sz="0" w:space="0" w:color="auto"/>
            <w:left w:val="none" w:sz="0" w:space="0" w:color="auto"/>
            <w:bottom w:val="none" w:sz="0" w:space="0" w:color="auto"/>
            <w:right w:val="none" w:sz="0" w:space="0" w:color="auto"/>
          </w:divBdr>
        </w:div>
        <w:div w:id="715471582">
          <w:marLeft w:val="0"/>
          <w:marRight w:val="-13770"/>
          <w:marTop w:val="0"/>
          <w:marBottom w:val="0"/>
          <w:divBdr>
            <w:top w:val="none" w:sz="0" w:space="0" w:color="auto"/>
            <w:left w:val="none" w:sz="0" w:space="0" w:color="auto"/>
            <w:bottom w:val="none" w:sz="0" w:space="0" w:color="auto"/>
            <w:right w:val="none" w:sz="0" w:space="0" w:color="auto"/>
          </w:divBdr>
        </w:div>
        <w:div w:id="1852647575">
          <w:marLeft w:val="0"/>
          <w:marRight w:val="-13770"/>
          <w:marTop w:val="0"/>
          <w:marBottom w:val="0"/>
          <w:divBdr>
            <w:top w:val="none" w:sz="0" w:space="0" w:color="auto"/>
            <w:left w:val="none" w:sz="0" w:space="0" w:color="auto"/>
            <w:bottom w:val="none" w:sz="0" w:space="0" w:color="auto"/>
            <w:right w:val="none" w:sz="0" w:space="0" w:color="auto"/>
          </w:divBdr>
        </w:div>
        <w:div w:id="1239095961">
          <w:marLeft w:val="0"/>
          <w:marRight w:val="-13770"/>
          <w:marTop w:val="0"/>
          <w:marBottom w:val="0"/>
          <w:divBdr>
            <w:top w:val="none" w:sz="0" w:space="0" w:color="auto"/>
            <w:left w:val="none" w:sz="0" w:space="0" w:color="auto"/>
            <w:bottom w:val="none" w:sz="0" w:space="0" w:color="auto"/>
            <w:right w:val="none" w:sz="0" w:space="0" w:color="auto"/>
          </w:divBdr>
        </w:div>
        <w:div w:id="1946616299">
          <w:marLeft w:val="0"/>
          <w:marRight w:val="-13770"/>
          <w:marTop w:val="0"/>
          <w:marBottom w:val="0"/>
          <w:divBdr>
            <w:top w:val="none" w:sz="0" w:space="0" w:color="auto"/>
            <w:left w:val="none" w:sz="0" w:space="0" w:color="auto"/>
            <w:bottom w:val="none" w:sz="0" w:space="0" w:color="auto"/>
            <w:right w:val="none" w:sz="0" w:space="0" w:color="auto"/>
          </w:divBdr>
        </w:div>
        <w:div w:id="362439304">
          <w:marLeft w:val="0"/>
          <w:marRight w:val="-13770"/>
          <w:marTop w:val="0"/>
          <w:marBottom w:val="0"/>
          <w:divBdr>
            <w:top w:val="none" w:sz="0" w:space="0" w:color="auto"/>
            <w:left w:val="none" w:sz="0" w:space="0" w:color="auto"/>
            <w:bottom w:val="none" w:sz="0" w:space="0" w:color="auto"/>
            <w:right w:val="none" w:sz="0" w:space="0" w:color="auto"/>
          </w:divBdr>
        </w:div>
        <w:div w:id="768038622">
          <w:marLeft w:val="0"/>
          <w:marRight w:val="-13770"/>
          <w:marTop w:val="0"/>
          <w:marBottom w:val="0"/>
          <w:divBdr>
            <w:top w:val="none" w:sz="0" w:space="0" w:color="auto"/>
            <w:left w:val="none" w:sz="0" w:space="0" w:color="auto"/>
            <w:bottom w:val="none" w:sz="0" w:space="0" w:color="auto"/>
            <w:right w:val="none" w:sz="0" w:space="0" w:color="auto"/>
          </w:divBdr>
        </w:div>
      </w:divsChild>
    </w:div>
    <w:div w:id="1021277652">
      <w:bodyDiv w:val="1"/>
      <w:marLeft w:val="0"/>
      <w:marRight w:val="0"/>
      <w:marTop w:val="0"/>
      <w:marBottom w:val="0"/>
      <w:divBdr>
        <w:top w:val="none" w:sz="0" w:space="0" w:color="auto"/>
        <w:left w:val="none" w:sz="0" w:space="0" w:color="auto"/>
        <w:bottom w:val="none" w:sz="0" w:space="0" w:color="auto"/>
        <w:right w:val="none" w:sz="0" w:space="0" w:color="auto"/>
      </w:divBdr>
    </w:div>
    <w:div w:id="1135172639">
      <w:bodyDiv w:val="1"/>
      <w:marLeft w:val="0"/>
      <w:marRight w:val="0"/>
      <w:marTop w:val="0"/>
      <w:marBottom w:val="0"/>
      <w:divBdr>
        <w:top w:val="none" w:sz="0" w:space="0" w:color="auto"/>
        <w:left w:val="none" w:sz="0" w:space="0" w:color="auto"/>
        <w:bottom w:val="none" w:sz="0" w:space="0" w:color="auto"/>
        <w:right w:val="none" w:sz="0" w:space="0" w:color="auto"/>
      </w:divBdr>
    </w:div>
    <w:div w:id="1278105720">
      <w:bodyDiv w:val="1"/>
      <w:marLeft w:val="0"/>
      <w:marRight w:val="0"/>
      <w:marTop w:val="0"/>
      <w:marBottom w:val="0"/>
      <w:divBdr>
        <w:top w:val="none" w:sz="0" w:space="0" w:color="auto"/>
        <w:left w:val="none" w:sz="0" w:space="0" w:color="auto"/>
        <w:bottom w:val="none" w:sz="0" w:space="0" w:color="auto"/>
        <w:right w:val="none" w:sz="0" w:space="0" w:color="auto"/>
      </w:divBdr>
    </w:div>
    <w:div w:id="1295214163">
      <w:bodyDiv w:val="1"/>
      <w:marLeft w:val="0"/>
      <w:marRight w:val="0"/>
      <w:marTop w:val="0"/>
      <w:marBottom w:val="0"/>
      <w:divBdr>
        <w:top w:val="none" w:sz="0" w:space="0" w:color="auto"/>
        <w:left w:val="none" w:sz="0" w:space="0" w:color="auto"/>
        <w:bottom w:val="none" w:sz="0" w:space="0" w:color="auto"/>
        <w:right w:val="none" w:sz="0" w:space="0" w:color="auto"/>
      </w:divBdr>
    </w:div>
    <w:div w:id="1500074025">
      <w:bodyDiv w:val="1"/>
      <w:marLeft w:val="0"/>
      <w:marRight w:val="0"/>
      <w:marTop w:val="0"/>
      <w:marBottom w:val="0"/>
      <w:divBdr>
        <w:top w:val="none" w:sz="0" w:space="0" w:color="auto"/>
        <w:left w:val="none" w:sz="0" w:space="0" w:color="auto"/>
        <w:bottom w:val="none" w:sz="0" w:space="0" w:color="auto"/>
        <w:right w:val="none" w:sz="0" w:space="0" w:color="auto"/>
      </w:divBdr>
    </w:div>
    <w:div w:id="1541935006">
      <w:bodyDiv w:val="1"/>
      <w:marLeft w:val="0"/>
      <w:marRight w:val="0"/>
      <w:marTop w:val="0"/>
      <w:marBottom w:val="0"/>
      <w:divBdr>
        <w:top w:val="none" w:sz="0" w:space="0" w:color="auto"/>
        <w:left w:val="none" w:sz="0" w:space="0" w:color="auto"/>
        <w:bottom w:val="none" w:sz="0" w:space="0" w:color="auto"/>
        <w:right w:val="none" w:sz="0" w:space="0" w:color="auto"/>
      </w:divBdr>
    </w:div>
    <w:div w:id="1569221376">
      <w:bodyDiv w:val="1"/>
      <w:marLeft w:val="0"/>
      <w:marRight w:val="0"/>
      <w:marTop w:val="0"/>
      <w:marBottom w:val="0"/>
      <w:divBdr>
        <w:top w:val="none" w:sz="0" w:space="0" w:color="auto"/>
        <w:left w:val="none" w:sz="0" w:space="0" w:color="auto"/>
        <w:bottom w:val="none" w:sz="0" w:space="0" w:color="auto"/>
        <w:right w:val="none" w:sz="0" w:space="0" w:color="auto"/>
      </w:divBdr>
    </w:div>
    <w:div w:id="1734039257">
      <w:bodyDiv w:val="1"/>
      <w:marLeft w:val="0"/>
      <w:marRight w:val="0"/>
      <w:marTop w:val="0"/>
      <w:marBottom w:val="0"/>
      <w:divBdr>
        <w:top w:val="none" w:sz="0" w:space="0" w:color="auto"/>
        <w:left w:val="none" w:sz="0" w:space="0" w:color="auto"/>
        <w:bottom w:val="none" w:sz="0" w:space="0" w:color="auto"/>
        <w:right w:val="none" w:sz="0" w:space="0" w:color="auto"/>
      </w:divBdr>
      <w:divsChild>
        <w:div w:id="547566633">
          <w:marLeft w:val="0"/>
          <w:marRight w:val="-13770"/>
          <w:marTop w:val="0"/>
          <w:marBottom w:val="0"/>
          <w:divBdr>
            <w:top w:val="none" w:sz="0" w:space="0" w:color="auto"/>
            <w:left w:val="none" w:sz="0" w:space="0" w:color="auto"/>
            <w:bottom w:val="none" w:sz="0" w:space="0" w:color="auto"/>
            <w:right w:val="none" w:sz="0" w:space="0" w:color="auto"/>
          </w:divBdr>
        </w:div>
        <w:div w:id="458842305">
          <w:marLeft w:val="0"/>
          <w:marRight w:val="-13770"/>
          <w:marTop w:val="0"/>
          <w:marBottom w:val="0"/>
          <w:divBdr>
            <w:top w:val="none" w:sz="0" w:space="0" w:color="auto"/>
            <w:left w:val="none" w:sz="0" w:space="0" w:color="auto"/>
            <w:bottom w:val="none" w:sz="0" w:space="0" w:color="auto"/>
            <w:right w:val="none" w:sz="0" w:space="0" w:color="auto"/>
          </w:divBdr>
        </w:div>
        <w:div w:id="1857648709">
          <w:marLeft w:val="0"/>
          <w:marRight w:val="-13770"/>
          <w:marTop w:val="0"/>
          <w:marBottom w:val="0"/>
          <w:divBdr>
            <w:top w:val="none" w:sz="0" w:space="0" w:color="auto"/>
            <w:left w:val="none" w:sz="0" w:space="0" w:color="auto"/>
            <w:bottom w:val="none" w:sz="0" w:space="0" w:color="auto"/>
            <w:right w:val="none" w:sz="0" w:space="0" w:color="auto"/>
          </w:divBdr>
        </w:div>
        <w:div w:id="566651969">
          <w:marLeft w:val="0"/>
          <w:marRight w:val="-13770"/>
          <w:marTop w:val="0"/>
          <w:marBottom w:val="0"/>
          <w:divBdr>
            <w:top w:val="none" w:sz="0" w:space="0" w:color="auto"/>
            <w:left w:val="none" w:sz="0" w:space="0" w:color="auto"/>
            <w:bottom w:val="none" w:sz="0" w:space="0" w:color="auto"/>
            <w:right w:val="none" w:sz="0" w:space="0" w:color="auto"/>
          </w:divBdr>
        </w:div>
        <w:div w:id="780144738">
          <w:marLeft w:val="0"/>
          <w:marRight w:val="-13770"/>
          <w:marTop w:val="0"/>
          <w:marBottom w:val="0"/>
          <w:divBdr>
            <w:top w:val="none" w:sz="0" w:space="0" w:color="auto"/>
            <w:left w:val="none" w:sz="0" w:space="0" w:color="auto"/>
            <w:bottom w:val="none" w:sz="0" w:space="0" w:color="auto"/>
            <w:right w:val="none" w:sz="0" w:space="0" w:color="auto"/>
          </w:divBdr>
        </w:div>
        <w:div w:id="285082698">
          <w:marLeft w:val="0"/>
          <w:marRight w:val="-13770"/>
          <w:marTop w:val="0"/>
          <w:marBottom w:val="0"/>
          <w:divBdr>
            <w:top w:val="none" w:sz="0" w:space="0" w:color="auto"/>
            <w:left w:val="none" w:sz="0" w:space="0" w:color="auto"/>
            <w:bottom w:val="none" w:sz="0" w:space="0" w:color="auto"/>
            <w:right w:val="none" w:sz="0" w:space="0" w:color="auto"/>
          </w:divBdr>
        </w:div>
        <w:div w:id="456804502">
          <w:marLeft w:val="0"/>
          <w:marRight w:val="-13770"/>
          <w:marTop w:val="0"/>
          <w:marBottom w:val="0"/>
          <w:divBdr>
            <w:top w:val="none" w:sz="0" w:space="0" w:color="auto"/>
            <w:left w:val="none" w:sz="0" w:space="0" w:color="auto"/>
            <w:bottom w:val="none" w:sz="0" w:space="0" w:color="auto"/>
            <w:right w:val="none" w:sz="0" w:space="0" w:color="auto"/>
          </w:divBdr>
        </w:div>
        <w:div w:id="1287005760">
          <w:marLeft w:val="0"/>
          <w:marRight w:val="-13770"/>
          <w:marTop w:val="0"/>
          <w:marBottom w:val="0"/>
          <w:divBdr>
            <w:top w:val="none" w:sz="0" w:space="0" w:color="auto"/>
            <w:left w:val="none" w:sz="0" w:space="0" w:color="auto"/>
            <w:bottom w:val="none" w:sz="0" w:space="0" w:color="auto"/>
            <w:right w:val="none" w:sz="0" w:space="0" w:color="auto"/>
          </w:divBdr>
        </w:div>
      </w:divsChild>
    </w:div>
    <w:div w:id="175724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A3A66-954E-764F-B497-4B4D0788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6</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Isabella M.</dc:creator>
  <cp:keywords/>
  <dc:description/>
  <cp:lastModifiedBy>Roy, Isabella M.</cp:lastModifiedBy>
  <cp:revision>177</cp:revision>
  <dcterms:created xsi:type="dcterms:W3CDTF">2019-03-25T17:49:00Z</dcterms:created>
  <dcterms:modified xsi:type="dcterms:W3CDTF">2019-04-02T19:54:00Z</dcterms:modified>
</cp:coreProperties>
</file>